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CD" w:rsidRPr="001124AC" w:rsidRDefault="006812CD" w:rsidP="006812CD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Word.Picture.8" ShapeID="_x0000_i1025" DrawAspect="Content" ObjectID="_1595856753" r:id="rId7"/>
        </w:object>
      </w:r>
    </w:p>
    <w:p w:rsidR="006812CD" w:rsidRPr="001124AC" w:rsidRDefault="006812CD" w:rsidP="006812CD">
      <w:pPr>
        <w:spacing w:line="192" w:lineRule="auto"/>
        <w:jc w:val="center"/>
        <w:rPr>
          <w:color w:val="0000FF"/>
        </w:rPr>
      </w:pPr>
    </w:p>
    <w:p w:rsidR="006812CD" w:rsidRPr="00A4349F" w:rsidRDefault="006812CD" w:rsidP="006812CD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6812CD" w:rsidRPr="00A4349F" w:rsidRDefault="006812CD" w:rsidP="006812CD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6812CD" w:rsidRPr="00A4349F" w:rsidRDefault="006812CD" w:rsidP="006812CD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6812CD" w:rsidRPr="001124AC" w:rsidRDefault="006812CD" w:rsidP="006812CD">
      <w:pPr>
        <w:pStyle w:val="a3"/>
        <w:outlineLvl w:val="0"/>
        <w:rPr>
          <w:b/>
        </w:rPr>
      </w:pPr>
    </w:p>
    <w:p w:rsidR="006812CD" w:rsidRPr="0053443A" w:rsidRDefault="001C6C43" w:rsidP="006812C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ПРОЕКТ</w:t>
      </w:r>
      <w:r w:rsidR="006812CD">
        <w:rPr>
          <w:b/>
          <w:sz w:val="32"/>
          <w:szCs w:val="32"/>
          <w:lang w:val="ru-RU"/>
        </w:rPr>
        <w:t xml:space="preserve"> </w:t>
      </w:r>
      <w:r w:rsidR="006812CD" w:rsidRPr="0053443A">
        <w:rPr>
          <w:b/>
          <w:sz w:val="32"/>
          <w:szCs w:val="32"/>
          <w:lang w:val="ru-RU"/>
        </w:rPr>
        <w:t>РОЗПОРЯДЖЕННЯ</w:t>
      </w:r>
    </w:p>
    <w:p w:rsidR="006812CD" w:rsidRDefault="006812CD" w:rsidP="006812CD">
      <w:pPr>
        <w:spacing w:line="360" w:lineRule="auto"/>
        <w:rPr>
          <w:rFonts w:ascii="Courier New" w:hAnsi="Courier New" w:cs="Courier New"/>
        </w:rPr>
      </w:pPr>
    </w:p>
    <w:p w:rsidR="006812CD" w:rsidRPr="00EA57FE" w:rsidRDefault="001C6C43" w:rsidP="006812CD">
      <w:pPr>
        <w:spacing w:line="360" w:lineRule="auto"/>
        <w:jc w:val="both"/>
        <w:rPr>
          <w:szCs w:val="28"/>
        </w:rPr>
      </w:pPr>
      <w:r>
        <w:rPr>
          <w:szCs w:val="28"/>
        </w:rPr>
        <w:t>___</w:t>
      </w:r>
      <w:r w:rsidR="005B2FA2">
        <w:rPr>
          <w:szCs w:val="28"/>
        </w:rPr>
        <w:t>.08</w:t>
      </w:r>
      <w:r w:rsidR="006812CD">
        <w:rPr>
          <w:szCs w:val="28"/>
        </w:rPr>
        <w:t xml:space="preserve">.2018     </w:t>
      </w:r>
      <w:r w:rsidR="006812CD" w:rsidRPr="00EA57FE">
        <w:rPr>
          <w:szCs w:val="28"/>
        </w:rPr>
        <w:t xml:space="preserve">          </w:t>
      </w:r>
      <w:r w:rsidR="006812CD">
        <w:rPr>
          <w:szCs w:val="28"/>
        </w:rPr>
        <w:t xml:space="preserve">         </w:t>
      </w:r>
      <w:r w:rsidR="006812CD" w:rsidRPr="00EA57FE">
        <w:rPr>
          <w:szCs w:val="28"/>
        </w:rPr>
        <w:t xml:space="preserve">  </w:t>
      </w:r>
      <w:proofErr w:type="spellStart"/>
      <w:r w:rsidR="006812CD" w:rsidRPr="00EA57FE">
        <w:rPr>
          <w:szCs w:val="28"/>
        </w:rPr>
        <w:t>м.Подільськ</w:t>
      </w:r>
      <w:proofErr w:type="spellEnd"/>
      <w:r w:rsidR="006812CD" w:rsidRPr="00EA57FE">
        <w:rPr>
          <w:szCs w:val="28"/>
        </w:rPr>
        <w:t xml:space="preserve">        </w:t>
      </w:r>
      <w:r w:rsidR="006812CD">
        <w:rPr>
          <w:szCs w:val="28"/>
        </w:rPr>
        <w:t xml:space="preserve">                </w:t>
      </w:r>
      <w:r w:rsidR="006812CD" w:rsidRPr="00EA57FE">
        <w:rPr>
          <w:szCs w:val="28"/>
        </w:rPr>
        <w:t xml:space="preserve">  №</w:t>
      </w:r>
      <w:r w:rsidR="005B2FA2">
        <w:rPr>
          <w:szCs w:val="28"/>
        </w:rPr>
        <w:t xml:space="preserve"> ____</w:t>
      </w:r>
      <w:r w:rsidR="006812CD">
        <w:rPr>
          <w:szCs w:val="28"/>
        </w:rPr>
        <w:t>/18</w:t>
      </w:r>
    </w:p>
    <w:p w:rsidR="006812CD" w:rsidRDefault="006812CD" w:rsidP="006812CD">
      <w:pPr>
        <w:jc w:val="both"/>
        <w:rPr>
          <w:b/>
          <w:szCs w:val="28"/>
        </w:rPr>
      </w:pPr>
    </w:p>
    <w:p w:rsidR="006812CD" w:rsidRDefault="005B2FA2" w:rsidP="006812CD">
      <w:pPr>
        <w:jc w:val="both"/>
        <w:rPr>
          <w:b/>
          <w:szCs w:val="28"/>
        </w:rPr>
      </w:pPr>
      <w:r>
        <w:rPr>
          <w:b/>
          <w:szCs w:val="28"/>
        </w:rPr>
        <w:t>Про виконання плану заходів на 2018 рік з</w:t>
      </w:r>
    </w:p>
    <w:p w:rsidR="005B2FA2" w:rsidRDefault="005B2FA2" w:rsidP="006812CD">
      <w:pPr>
        <w:jc w:val="both"/>
        <w:rPr>
          <w:b/>
          <w:szCs w:val="28"/>
        </w:rPr>
      </w:pPr>
      <w:r>
        <w:rPr>
          <w:b/>
          <w:szCs w:val="28"/>
        </w:rPr>
        <w:t>реалізації Стратегії комунікації у сфері</w:t>
      </w:r>
    </w:p>
    <w:p w:rsidR="005B2FA2" w:rsidRPr="00A4401C" w:rsidRDefault="005B2FA2" w:rsidP="006812CD">
      <w:pPr>
        <w:jc w:val="both"/>
        <w:rPr>
          <w:b/>
          <w:szCs w:val="28"/>
        </w:rPr>
      </w:pPr>
      <w:r>
        <w:rPr>
          <w:b/>
          <w:szCs w:val="28"/>
        </w:rPr>
        <w:t>європейської інтеграції на 2018-2021 роки</w:t>
      </w:r>
    </w:p>
    <w:p w:rsidR="006812CD" w:rsidRDefault="006812CD" w:rsidP="006812CD">
      <w:pPr>
        <w:jc w:val="both"/>
        <w:rPr>
          <w:szCs w:val="28"/>
        </w:rPr>
      </w:pPr>
      <w:r w:rsidRPr="00ED3193">
        <w:rPr>
          <w:szCs w:val="28"/>
        </w:rPr>
        <w:t xml:space="preserve">     </w:t>
      </w:r>
    </w:p>
    <w:p w:rsidR="006812CD" w:rsidRPr="008D55B2" w:rsidRDefault="006812CD" w:rsidP="006812CD">
      <w:pPr>
        <w:jc w:val="both"/>
        <w:rPr>
          <w:sz w:val="24"/>
          <w:szCs w:val="24"/>
        </w:rPr>
      </w:pPr>
    </w:p>
    <w:p w:rsidR="006812CD" w:rsidRPr="00A4401C" w:rsidRDefault="005B2FA2" w:rsidP="006812CD">
      <w:pPr>
        <w:ind w:firstLine="709"/>
        <w:jc w:val="both"/>
        <w:rPr>
          <w:szCs w:val="28"/>
        </w:rPr>
      </w:pPr>
      <w:r>
        <w:t>Відповідно до статей 2, 6, 13 Закону України «Про місцеві державні адміністрації», розпорядження Кабінету Міністрів України від 25 квітня 2018 року №272-р «Про затвердження плану заходів на 2018 рік з реалізації Стратегії комунікації у сфері європейської інтеграції на 2018-2021 роки», розпорядження Одеської обласної державної адміністрації від 18 липня 2018 року№778/А-2018, з метою утвердження в українському суспільстві свідомої підтримки членства України в Європейському Союзі</w:t>
      </w:r>
      <w:r w:rsidR="006812CD" w:rsidRPr="00A4401C">
        <w:rPr>
          <w:szCs w:val="28"/>
        </w:rPr>
        <w:t>:</w:t>
      </w:r>
    </w:p>
    <w:p w:rsidR="006812CD" w:rsidRPr="008D55B2" w:rsidRDefault="006812CD" w:rsidP="006812CD">
      <w:pPr>
        <w:ind w:firstLine="709"/>
        <w:jc w:val="both"/>
        <w:rPr>
          <w:sz w:val="24"/>
          <w:szCs w:val="24"/>
        </w:rPr>
      </w:pPr>
    </w:p>
    <w:p w:rsidR="005B2FA2" w:rsidRDefault="006812CD" w:rsidP="006812CD">
      <w:pPr>
        <w:ind w:firstLine="709"/>
        <w:jc w:val="both"/>
        <w:rPr>
          <w:szCs w:val="28"/>
        </w:rPr>
      </w:pPr>
      <w:r w:rsidRPr="008D55B2">
        <w:rPr>
          <w:szCs w:val="28"/>
        </w:rPr>
        <w:t xml:space="preserve">1. </w:t>
      </w:r>
      <w:r w:rsidR="005B2FA2">
        <w:rPr>
          <w:szCs w:val="28"/>
        </w:rPr>
        <w:t xml:space="preserve">Відділу економічного розвитку, інфраструктури і торгівлі районної державної адміністрації, </w:t>
      </w:r>
      <w:r w:rsidR="001C3827">
        <w:rPr>
          <w:szCs w:val="28"/>
        </w:rPr>
        <w:t>секторам районної державної адміністрації:</w:t>
      </w:r>
      <w:r w:rsidR="005B2FA2">
        <w:rPr>
          <w:szCs w:val="28"/>
        </w:rPr>
        <w:t xml:space="preserve"> з питань освіти і культури, житлово-комунального господарства та будівництва</w:t>
      </w:r>
      <w:r w:rsidR="001C3827">
        <w:rPr>
          <w:szCs w:val="28"/>
        </w:rPr>
        <w:t xml:space="preserve">, </w:t>
      </w:r>
      <w:r w:rsidR="005B2FA2">
        <w:rPr>
          <w:szCs w:val="28"/>
        </w:rPr>
        <w:t>комунікацій з громадськістю</w:t>
      </w:r>
      <w:r w:rsidR="001C3827">
        <w:rPr>
          <w:szCs w:val="28"/>
        </w:rPr>
        <w:t>:</w:t>
      </w:r>
    </w:p>
    <w:p w:rsidR="001C3827" w:rsidRDefault="001C3827" w:rsidP="006812CD">
      <w:pPr>
        <w:ind w:firstLine="709"/>
        <w:jc w:val="both"/>
        <w:rPr>
          <w:szCs w:val="28"/>
        </w:rPr>
      </w:pPr>
    </w:p>
    <w:p w:rsidR="001C3827" w:rsidRDefault="001C3827" w:rsidP="006812CD">
      <w:pPr>
        <w:ind w:firstLine="709"/>
        <w:jc w:val="both"/>
        <w:rPr>
          <w:szCs w:val="28"/>
        </w:rPr>
      </w:pPr>
      <w:r>
        <w:rPr>
          <w:szCs w:val="28"/>
        </w:rPr>
        <w:t>- забезпечити виконання плану заходів на 2018 рік з реалізації Стратегії комунікації у сфері європейської інтеграції на 2018-2021 роки, затвердженого розпорядженням Кабінету Міністрів України від 25 квітня 2018 року №272-р згідно з додатком;</w:t>
      </w:r>
    </w:p>
    <w:p w:rsidR="001C3827" w:rsidRDefault="001C3827" w:rsidP="006812CD">
      <w:pPr>
        <w:ind w:firstLine="709"/>
        <w:jc w:val="both"/>
        <w:rPr>
          <w:szCs w:val="28"/>
        </w:rPr>
      </w:pPr>
    </w:p>
    <w:p w:rsidR="001C3827" w:rsidRPr="008D55B2" w:rsidRDefault="001C3827" w:rsidP="006812CD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Pr="001C3827">
        <w:rPr>
          <w:szCs w:val="28"/>
        </w:rPr>
        <w:t xml:space="preserve">керівникам структурних підрозділів районної державної адміністрації, причетним до виконання заходів </w:t>
      </w:r>
      <w:r>
        <w:rPr>
          <w:szCs w:val="28"/>
        </w:rPr>
        <w:t>інформувати про виконання плану заходів сектор комунікацій з громадськістю районної державної адміністрації (Казимиров Р.А.) щокварталу до 10 числа останнього місяця звітного періоду.</w:t>
      </w:r>
    </w:p>
    <w:p w:rsidR="005B2FA2" w:rsidRDefault="005B2FA2" w:rsidP="006812CD">
      <w:pPr>
        <w:ind w:firstLine="709"/>
        <w:jc w:val="both"/>
        <w:rPr>
          <w:szCs w:val="28"/>
        </w:rPr>
      </w:pPr>
    </w:p>
    <w:p w:rsidR="001C3827" w:rsidRDefault="006812CD" w:rsidP="00490AF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C3827">
        <w:rPr>
          <w:szCs w:val="28"/>
        </w:rPr>
        <w:t>Сектору комунікацій з громадськістю районної державної адміністрації</w:t>
      </w:r>
      <w:r w:rsidR="00490AFC">
        <w:rPr>
          <w:szCs w:val="28"/>
        </w:rPr>
        <w:t xml:space="preserve"> забезпечити </w:t>
      </w:r>
      <w:r w:rsidR="001C3827">
        <w:rPr>
          <w:szCs w:val="28"/>
        </w:rPr>
        <w:t xml:space="preserve">узагальнення наданої інформації та щоквартальне до 18 числа останнього місяця звітного періоду інформування </w:t>
      </w:r>
      <w:r w:rsidR="00DD5CA9">
        <w:rPr>
          <w:szCs w:val="28"/>
        </w:rPr>
        <w:t xml:space="preserve">управлінню комунікацій та інформаційної політики облдержадміністрації </w:t>
      </w:r>
      <w:r w:rsidR="001C3827">
        <w:rPr>
          <w:szCs w:val="28"/>
        </w:rPr>
        <w:t>про виконання плану заходів районної державної адміністрації</w:t>
      </w:r>
      <w:r w:rsidR="00490AFC">
        <w:rPr>
          <w:szCs w:val="28"/>
        </w:rPr>
        <w:t>.</w:t>
      </w:r>
    </w:p>
    <w:p w:rsidR="006812CD" w:rsidRPr="008D55B2" w:rsidRDefault="006812CD" w:rsidP="006812CD">
      <w:pPr>
        <w:ind w:firstLine="709"/>
        <w:jc w:val="both"/>
        <w:rPr>
          <w:sz w:val="24"/>
          <w:szCs w:val="24"/>
        </w:rPr>
      </w:pPr>
    </w:p>
    <w:p w:rsidR="006812CD" w:rsidRPr="00ED3193" w:rsidRDefault="006812CD" w:rsidP="006812CD">
      <w:pPr>
        <w:ind w:firstLine="709"/>
        <w:jc w:val="both"/>
      </w:pPr>
      <w:r>
        <w:rPr>
          <w:szCs w:val="28"/>
        </w:rPr>
        <w:t xml:space="preserve">3. </w:t>
      </w:r>
      <w:r w:rsidRPr="00ED3193">
        <w:t xml:space="preserve">Контроль за виконанням розпорядження </w:t>
      </w:r>
      <w:r>
        <w:t>покласти на керівника апарату районної державної адміністрації Білоусову В.М</w:t>
      </w:r>
      <w:r w:rsidRPr="00ED3193">
        <w:t xml:space="preserve">. </w:t>
      </w:r>
    </w:p>
    <w:p w:rsidR="006812CD" w:rsidRDefault="006812CD" w:rsidP="006812CD">
      <w:pPr>
        <w:jc w:val="both"/>
      </w:pPr>
    </w:p>
    <w:p w:rsidR="006812CD" w:rsidRDefault="006812CD" w:rsidP="006812CD">
      <w:pPr>
        <w:jc w:val="both"/>
      </w:pPr>
    </w:p>
    <w:p w:rsidR="006812CD" w:rsidRPr="00ED3193" w:rsidRDefault="006812CD" w:rsidP="006812CD">
      <w:pPr>
        <w:jc w:val="both"/>
      </w:pPr>
    </w:p>
    <w:p w:rsidR="006812CD" w:rsidRPr="00441C55" w:rsidRDefault="006812CD" w:rsidP="006812CD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6812CD" w:rsidRPr="00441C55" w:rsidRDefault="006812CD" w:rsidP="006812CD">
      <w:pPr>
        <w:jc w:val="both"/>
        <w:rPr>
          <w:b/>
        </w:rPr>
      </w:pPr>
      <w:r w:rsidRPr="00441C55">
        <w:rPr>
          <w:b/>
        </w:rPr>
        <w:t xml:space="preserve">державної адміністрації                         </w:t>
      </w:r>
      <w:r>
        <w:rPr>
          <w:b/>
        </w:rPr>
        <w:t xml:space="preserve">                               Р.І Пітак</w:t>
      </w:r>
    </w:p>
    <w:p w:rsidR="006812CD" w:rsidRDefault="006812CD" w:rsidP="006812CD">
      <w:pPr>
        <w:rPr>
          <w:szCs w:val="28"/>
        </w:rPr>
      </w:pPr>
    </w:p>
    <w:p w:rsidR="00774B1F" w:rsidRDefault="00774B1F" w:rsidP="00774B1F">
      <w:pPr>
        <w:rPr>
          <w:szCs w:val="28"/>
        </w:rPr>
      </w:pPr>
    </w:p>
    <w:p w:rsidR="0043019F" w:rsidRDefault="0043019F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1C6C43" w:rsidRDefault="001C6C43" w:rsidP="00774B1F">
      <w:pPr>
        <w:rPr>
          <w:szCs w:val="28"/>
        </w:rPr>
      </w:pPr>
    </w:p>
    <w:p w:rsidR="009625A4" w:rsidRDefault="009625A4" w:rsidP="001C6C43">
      <w:pPr>
        <w:rPr>
          <w:sz w:val="24"/>
          <w:szCs w:val="24"/>
        </w:rPr>
        <w:sectPr w:rsidR="009625A4" w:rsidSect="00774B1F">
          <w:pgSz w:w="11906" w:h="16838"/>
          <w:pgMar w:top="567" w:right="566" w:bottom="567" w:left="1701" w:header="709" w:footer="709" w:gutter="0"/>
          <w:cols w:space="708"/>
          <w:docGrid w:linePitch="360"/>
        </w:sectPr>
      </w:pPr>
    </w:p>
    <w:p w:rsidR="009625A4" w:rsidRDefault="009625A4" w:rsidP="009625A4">
      <w:pPr>
        <w:ind w:left="9912" w:firstLine="708"/>
        <w:jc w:val="both"/>
        <w:rPr>
          <w:szCs w:val="28"/>
        </w:rPr>
      </w:pPr>
      <w:r>
        <w:rPr>
          <w:szCs w:val="28"/>
        </w:rPr>
        <w:lastRenderedPageBreak/>
        <w:t>ЗАТВЕРДЖЕНО</w:t>
      </w:r>
    </w:p>
    <w:p w:rsidR="009625A4" w:rsidRDefault="009625A4" w:rsidP="009625A4">
      <w:pPr>
        <w:ind w:left="9912" w:firstLine="708"/>
        <w:jc w:val="both"/>
        <w:rPr>
          <w:szCs w:val="28"/>
        </w:rPr>
      </w:pPr>
      <w:r>
        <w:rPr>
          <w:szCs w:val="28"/>
        </w:rPr>
        <w:t>Розпорядження голови</w:t>
      </w:r>
    </w:p>
    <w:p w:rsidR="009625A4" w:rsidRDefault="009625A4" w:rsidP="009625A4">
      <w:pPr>
        <w:ind w:left="10620"/>
        <w:jc w:val="both"/>
        <w:rPr>
          <w:szCs w:val="28"/>
        </w:rPr>
      </w:pPr>
      <w:r>
        <w:rPr>
          <w:szCs w:val="28"/>
        </w:rPr>
        <w:t>районної державної адміністрації</w:t>
      </w:r>
    </w:p>
    <w:p w:rsidR="009625A4" w:rsidRDefault="009625A4" w:rsidP="009625A4">
      <w:pPr>
        <w:ind w:left="9912" w:firstLine="708"/>
        <w:jc w:val="both"/>
        <w:rPr>
          <w:szCs w:val="28"/>
        </w:rPr>
      </w:pPr>
      <w:r>
        <w:rPr>
          <w:szCs w:val="28"/>
        </w:rPr>
        <w:t>___.08.2018 №____/18</w:t>
      </w:r>
    </w:p>
    <w:p w:rsidR="009625A4" w:rsidRDefault="009625A4" w:rsidP="009625A4">
      <w:pPr>
        <w:ind w:left="9912" w:firstLine="708"/>
        <w:jc w:val="both"/>
        <w:rPr>
          <w:szCs w:val="28"/>
        </w:rPr>
      </w:pPr>
    </w:p>
    <w:p w:rsidR="009625A4" w:rsidRDefault="009625A4" w:rsidP="009625A4">
      <w:pPr>
        <w:jc w:val="center"/>
        <w:rPr>
          <w:szCs w:val="28"/>
        </w:rPr>
      </w:pPr>
      <w:r>
        <w:rPr>
          <w:szCs w:val="28"/>
        </w:rPr>
        <w:t>Заходи з виконання плану заходів на 2018 рік з реалізації Стратегії</w:t>
      </w:r>
    </w:p>
    <w:p w:rsidR="009625A4" w:rsidRDefault="009625A4" w:rsidP="009625A4">
      <w:pPr>
        <w:jc w:val="center"/>
        <w:rPr>
          <w:szCs w:val="28"/>
        </w:rPr>
      </w:pPr>
      <w:r>
        <w:rPr>
          <w:szCs w:val="28"/>
        </w:rPr>
        <w:t>комунікації у сфері європейської інтеграції на 2018-2021 роки</w:t>
      </w:r>
    </w:p>
    <w:p w:rsidR="009625A4" w:rsidRDefault="009625A4" w:rsidP="009625A4">
      <w:pPr>
        <w:jc w:val="center"/>
        <w:rPr>
          <w:szCs w:val="28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01"/>
        <w:gridCol w:w="1917"/>
        <w:gridCol w:w="2277"/>
        <w:gridCol w:w="1954"/>
        <w:gridCol w:w="2157"/>
        <w:gridCol w:w="1559"/>
      </w:tblGrid>
      <w:tr w:rsidR="009625A4" w:rsidRPr="00D11591" w:rsidTr="00DA22B1">
        <w:tc>
          <w:tcPr>
            <w:tcW w:w="8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№ з/п</w:t>
            </w:r>
          </w:p>
        </w:tc>
        <w:tc>
          <w:tcPr>
            <w:tcW w:w="3119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901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Цільова аудиторія</w:t>
            </w:r>
          </w:p>
        </w:tc>
        <w:tc>
          <w:tcPr>
            <w:tcW w:w="19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27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954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Комунікаційні канали</w:t>
            </w:r>
          </w:p>
        </w:tc>
        <w:tc>
          <w:tcPr>
            <w:tcW w:w="215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Оцінка ефективності</w:t>
            </w:r>
          </w:p>
        </w:tc>
        <w:tc>
          <w:tcPr>
            <w:tcW w:w="1559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Строк виконання</w:t>
            </w:r>
          </w:p>
        </w:tc>
      </w:tr>
      <w:tr w:rsidR="009625A4" w:rsidRPr="00D11591" w:rsidTr="00DA22B1">
        <w:tc>
          <w:tcPr>
            <w:tcW w:w="8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25A4" w:rsidRPr="00D11591" w:rsidRDefault="009625A4" w:rsidP="00DA22B1">
            <w:pPr>
              <w:jc w:val="both"/>
              <w:rPr>
                <w:sz w:val="24"/>
                <w:szCs w:val="24"/>
              </w:rPr>
            </w:pPr>
            <w:r w:rsidRPr="00D11591">
              <w:rPr>
                <w:sz w:val="24"/>
                <w:szCs w:val="24"/>
              </w:rPr>
              <w:t>Сприяння проведенню</w:t>
            </w:r>
            <w:r>
              <w:rPr>
                <w:sz w:val="24"/>
                <w:szCs w:val="24"/>
              </w:rPr>
              <w:t xml:space="preserve"> інформаційної кампанії у галузі освіти про результати впровадження реформ та інституційних перетворень у сфері європейської інтеграції</w:t>
            </w:r>
          </w:p>
        </w:tc>
        <w:tc>
          <w:tcPr>
            <w:tcW w:w="1901" w:type="dxa"/>
          </w:tcPr>
          <w:p w:rsidR="009625A4" w:rsidRPr="00D11591" w:rsidRDefault="009625A4" w:rsidP="00DA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загальноосвітніх навчальних закладів</w:t>
            </w:r>
          </w:p>
        </w:tc>
        <w:tc>
          <w:tcPr>
            <w:tcW w:w="19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  <w:tc>
          <w:tcPr>
            <w:tcW w:w="227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Pr="00D11591">
              <w:rPr>
                <w:sz w:val="24"/>
                <w:szCs w:val="24"/>
              </w:rPr>
              <w:t>з питань освіти і культури</w:t>
            </w:r>
            <w:r>
              <w:rPr>
                <w:sz w:val="24"/>
                <w:szCs w:val="24"/>
              </w:rPr>
              <w:t>, сектор комунікацій з громадськістю</w:t>
            </w:r>
          </w:p>
        </w:tc>
        <w:tc>
          <w:tcPr>
            <w:tcW w:w="1954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Офіційні: веб-сайт Подільської РДА, провідні ЗМІ району</w:t>
            </w:r>
          </w:p>
        </w:tc>
        <w:tc>
          <w:tcPr>
            <w:tcW w:w="215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559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III-IV</w:t>
            </w:r>
            <w:r>
              <w:rPr>
                <w:sz w:val="24"/>
                <w:szCs w:val="24"/>
              </w:rPr>
              <w:t xml:space="preserve"> квартали</w:t>
            </w:r>
          </w:p>
        </w:tc>
      </w:tr>
      <w:tr w:rsidR="009625A4" w:rsidRPr="00D11591" w:rsidTr="00DA22B1">
        <w:tc>
          <w:tcPr>
            <w:tcW w:w="8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625A4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Сприяння проведенню інформаційної кампанії в економічній сфері шляхом висвітлення питань щодо:</w:t>
            </w:r>
          </w:p>
          <w:p w:rsidR="009625A4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приватизації та управління державним майном;</w:t>
            </w:r>
          </w:p>
          <w:p w:rsidR="009625A4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дерегуляції та розвитку підприємництва;</w:t>
            </w:r>
          </w:p>
          <w:p w:rsidR="009625A4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децентралізації влади;</w:t>
            </w:r>
          </w:p>
          <w:p w:rsidR="009625A4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енергоефективності та енергозбереження відновлюваної енергетики;</w:t>
            </w:r>
          </w:p>
          <w:p w:rsidR="009625A4" w:rsidRPr="00D11591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державної служби</w:t>
            </w:r>
          </w:p>
        </w:tc>
        <w:tc>
          <w:tcPr>
            <w:tcW w:w="1901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Всі категорії населення</w:t>
            </w:r>
          </w:p>
        </w:tc>
        <w:tc>
          <w:tcPr>
            <w:tcW w:w="19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  <w:tc>
          <w:tcPr>
            <w:tcW w:w="227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</w:t>
            </w:r>
            <w:r w:rsidRPr="001F0C89">
              <w:rPr>
                <w:sz w:val="24"/>
                <w:szCs w:val="24"/>
              </w:rPr>
              <w:t xml:space="preserve"> економічного розвитку, інфраструктури і торгівлі</w:t>
            </w:r>
            <w:r>
              <w:rPr>
                <w:sz w:val="24"/>
                <w:szCs w:val="24"/>
              </w:rPr>
              <w:t xml:space="preserve">, сектор </w:t>
            </w:r>
            <w:r w:rsidRPr="001F0C89">
              <w:rPr>
                <w:sz w:val="24"/>
                <w:szCs w:val="24"/>
              </w:rPr>
              <w:t>житлово-комунального господарства та будівництва</w:t>
            </w:r>
            <w:r>
              <w:rPr>
                <w:sz w:val="24"/>
                <w:szCs w:val="24"/>
              </w:rPr>
              <w:t>, сектор комунікацій з громадськістю</w:t>
            </w:r>
          </w:p>
        </w:tc>
        <w:tc>
          <w:tcPr>
            <w:tcW w:w="1954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1F0C89">
              <w:rPr>
                <w:sz w:val="24"/>
                <w:szCs w:val="24"/>
              </w:rPr>
              <w:t>Офіційні: веб-сайт Подільської РД</w:t>
            </w:r>
            <w:r>
              <w:rPr>
                <w:sz w:val="24"/>
                <w:szCs w:val="24"/>
              </w:rPr>
              <w:t xml:space="preserve">А, провідні </w:t>
            </w:r>
            <w:r w:rsidRPr="001F0C89">
              <w:rPr>
                <w:sz w:val="24"/>
                <w:szCs w:val="24"/>
              </w:rPr>
              <w:t>ЗМІ району</w:t>
            </w:r>
          </w:p>
        </w:tc>
        <w:tc>
          <w:tcPr>
            <w:tcW w:w="215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1F0C89">
              <w:rPr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559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1F0C89">
              <w:rPr>
                <w:sz w:val="24"/>
                <w:szCs w:val="24"/>
              </w:rPr>
              <w:t>III-IV квартали</w:t>
            </w:r>
          </w:p>
        </w:tc>
      </w:tr>
      <w:tr w:rsidR="009625A4" w:rsidRPr="00D11591" w:rsidTr="00DA22B1">
        <w:tc>
          <w:tcPr>
            <w:tcW w:w="8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625A4" w:rsidRPr="00D11591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</w:t>
            </w:r>
            <w:r>
              <w:rPr>
                <w:sz w:val="24"/>
                <w:szCs w:val="24"/>
              </w:rPr>
              <w:lastRenderedPageBreak/>
              <w:t>проведення Днів культури країн ЄС</w:t>
            </w:r>
          </w:p>
        </w:tc>
        <w:tc>
          <w:tcPr>
            <w:tcW w:w="1901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1F0C89">
              <w:rPr>
                <w:sz w:val="24"/>
                <w:szCs w:val="24"/>
              </w:rPr>
              <w:lastRenderedPageBreak/>
              <w:t xml:space="preserve">Всі категорії </w:t>
            </w:r>
            <w:r w:rsidRPr="001F0C89">
              <w:rPr>
                <w:sz w:val="24"/>
                <w:szCs w:val="24"/>
              </w:rPr>
              <w:lastRenderedPageBreak/>
              <w:t>населення</w:t>
            </w:r>
          </w:p>
        </w:tc>
        <w:tc>
          <w:tcPr>
            <w:tcW w:w="19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 межах </w:t>
            </w:r>
            <w:r>
              <w:rPr>
                <w:sz w:val="24"/>
                <w:szCs w:val="24"/>
              </w:rPr>
              <w:lastRenderedPageBreak/>
              <w:t>бюджетних призначень виконавців заходів обласних програм та інші джерела фінансування, не заборонені чинним законодавством</w:t>
            </w:r>
          </w:p>
        </w:tc>
        <w:tc>
          <w:tcPr>
            <w:tcW w:w="227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1F0C89">
              <w:rPr>
                <w:sz w:val="24"/>
                <w:szCs w:val="24"/>
              </w:rPr>
              <w:lastRenderedPageBreak/>
              <w:t xml:space="preserve">Сектор з питань </w:t>
            </w:r>
            <w:r w:rsidRPr="001F0C89">
              <w:rPr>
                <w:sz w:val="24"/>
                <w:szCs w:val="24"/>
              </w:rPr>
              <w:lastRenderedPageBreak/>
              <w:t>освіти і культури</w:t>
            </w:r>
          </w:p>
        </w:tc>
        <w:tc>
          <w:tcPr>
            <w:tcW w:w="1954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1F0C89">
              <w:rPr>
                <w:sz w:val="24"/>
                <w:szCs w:val="24"/>
              </w:rPr>
              <w:lastRenderedPageBreak/>
              <w:t>Офіційні: веб-</w:t>
            </w:r>
            <w:r w:rsidRPr="001F0C89">
              <w:rPr>
                <w:sz w:val="24"/>
                <w:szCs w:val="24"/>
              </w:rPr>
              <w:lastRenderedPageBreak/>
              <w:t>сайт Подільської РДА, провідні ЗМІ району</w:t>
            </w:r>
          </w:p>
        </w:tc>
        <w:tc>
          <w:tcPr>
            <w:tcW w:w="215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 w:rsidRPr="001F0C89">
              <w:rPr>
                <w:sz w:val="24"/>
                <w:szCs w:val="24"/>
              </w:rPr>
              <w:lastRenderedPageBreak/>
              <w:t xml:space="preserve">Кількість </w:t>
            </w:r>
            <w:r w:rsidRPr="001F0C89">
              <w:rPr>
                <w:sz w:val="24"/>
                <w:szCs w:val="24"/>
              </w:rPr>
              <w:lastRenderedPageBreak/>
              <w:t>проведених заходів</w:t>
            </w:r>
          </w:p>
        </w:tc>
        <w:tc>
          <w:tcPr>
            <w:tcW w:w="1559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Протягом </w:t>
            </w:r>
            <w:r>
              <w:rPr>
                <w:sz w:val="24"/>
                <w:szCs w:val="24"/>
              </w:rPr>
              <w:lastRenderedPageBreak/>
              <w:t>року</w:t>
            </w:r>
          </w:p>
        </w:tc>
      </w:tr>
      <w:tr w:rsidR="009625A4" w:rsidRPr="00D11591" w:rsidTr="00DA22B1">
        <w:tc>
          <w:tcPr>
            <w:tcW w:w="8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9625A4" w:rsidRPr="00D11591" w:rsidRDefault="009625A4" w:rsidP="00DA2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управлінню комунікацій та інформаційної політики облдержадміністрації інформації про виконання плану заходів на 2018 рік з реалізації Стратегії комунікації у сфері європейської інтеграції на 2018-2021 роки</w:t>
            </w:r>
          </w:p>
        </w:tc>
        <w:tc>
          <w:tcPr>
            <w:tcW w:w="1901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  <w:tc>
          <w:tcPr>
            <w:tcW w:w="227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комунікацій з громадськістю райдержадміністрації</w:t>
            </w:r>
          </w:p>
        </w:tc>
        <w:tc>
          <w:tcPr>
            <w:tcW w:w="1954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25A4" w:rsidRPr="00D11591" w:rsidRDefault="009625A4" w:rsidP="00DA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Щокварталу до 18 числа останнього місяця звітного періоду</w:t>
            </w:r>
          </w:p>
        </w:tc>
      </w:tr>
    </w:tbl>
    <w:p w:rsidR="009625A4" w:rsidRPr="00D11591" w:rsidRDefault="009625A4" w:rsidP="009625A4">
      <w:pPr>
        <w:jc w:val="center"/>
        <w:rPr>
          <w:szCs w:val="28"/>
        </w:rPr>
      </w:pPr>
    </w:p>
    <w:p w:rsidR="009625A4" w:rsidRPr="001C6C43" w:rsidRDefault="009625A4" w:rsidP="001C6C43">
      <w:pPr>
        <w:rPr>
          <w:sz w:val="24"/>
          <w:szCs w:val="24"/>
        </w:rPr>
      </w:pPr>
      <w:bookmarkStart w:id="0" w:name="_GoBack"/>
      <w:bookmarkEnd w:id="0"/>
    </w:p>
    <w:sectPr w:rsidR="009625A4" w:rsidRPr="001C6C43" w:rsidSect="00D11591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2A8"/>
    <w:rsid w:val="00012796"/>
    <w:rsid w:val="0002088D"/>
    <w:rsid w:val="0003151D"/>
    <w:rsid w:val="00047034"/>
    <w:rsid w:val="000E1497"/>
    <w:rsid w:val="001B7A78"/>
    <w:rsid w:val="001C0746"/>
    <w:rsid w:val="001C3827"/>
    <w:rsid w:val="001C6C43"/>
    <w:rsid w:val="00287E62"/>
    <w:rsid w:val="002E1713"/>
    <w:rsid w:val="003151AD"/>
    <w:rsid w:val="00395779"/>
    <w:rsid w:val="003A0570"/>
    <w:rsid w:val="003D59BF"/>
    <w:rsid w:val="003E48EC"/>
    <w:rsid w:val="0042117A"/>
    <w:rsid w:val="00426714"/>
    <w:rsid w:val="0043019F"/>
    <w:rsid w:val="00456A68"/>
    <w:rsid w:val="00490AFC"/>
    <w:rsid w:val="004B182F"/>
    <w:rsid w:val="004B5ED6"/>
    <w:rsid w:val="004F1BD8"/>
    <w:rsid w:val="005152A8"/>
    <w:rsid w:val="00534064"/>
    <w:rsid w:val="00553ADE"/>
    <w:rsid w:val="005B2FA2"/>
    <w:rsid w:val="005D0DFD"/>
    <w:rsid w:val="005D5910"/>
    <w:rsid w:val="006103D7"/>
    <w:rsid w:val="00667444"/>
    <w:rsid w:val="006812CD"/>
    <w:rsid w:val="00682E18"/>
    <w:rsid w:val="00695072"/>
    <w:rsid w:val="006A7FDB"/>
    <w:rsid w:val="006C57BD"/>
    <w:rsid w:val="006D22BE"/>
    <w:rsid w:val="006E3559"/>
    <w:rsid w:val="00734908"/>
    <w:rsid w:val="00770739"/>
    <w:rsid w:val="0077298B"/>
    <w:rsid w:val="00774B1F"/>
    <w:rsid w:val="007845F4"/>
    <w:rsid w:val="007966C3"/>
    <w:rsid w:val="007B4ABC"/>
    <w:rsid w:val="007D5BB3"/>
    <w:rsid w:val="007D5FD0"/>
    <w:rsid w:val="007E06E3"/>
    <w:rsid w:val="00813E9B"/>
    <w:rsid w:val="00815B4A"/>
    <w:rsid w:val="00830EEF"/>
    <w:rsid w:val="00866041"/>
    <w:rsid w:val="008A5018"/>
    <w:rsid w:val="008C0E16"/>
    <w:rsid w:val="008D55B2"/>
    <w:rsid w:val="00943B84"/>
    <w:rsid w:val="009625A4"/>
    <w:rsid w:val="00971CAD"/>
    <w:rsid w:val="00976B01"/>
    <w:rsid w:val="00983C3B"/>
    <w:rsid w:val="00997356"/>
    <w:rsid w:val="009B4000"/>
    <w:rsid w:val="009C3204"/>
    <w:rsid w:val="009D466F"/>
    <w:rsid w:val="009E5635"/>
    <w:rsid w:val="009E65FC"/>
    <w:rsid w:val="00A4401C"/>
    <w:rsid w:val="00AB1961"/>
    <w:rsid w:val="00AB705A"/>
    <w:rsid w:val="00AD1934"/>
    <w:rsid w:val="00B02B6F"/>
    <w:rsid w:val="00BD5200"/>
    <w:rsid w:val="00BF10E2"/>
    <w:rsid w:val="00C82FAE"/>
    <w:rsid w:val="00CB40CF"/>
    <w:rsid w:val="00CB7446"/>
    <w:rsid w:val="00CE2744"/>
    <w:rsid w:val="00D204E1"/>
    <w:rsid w:val="00D4740A"/>
    <w:rsid w:val="00D53F85"/>
    <w:rsid w:val="00D63B2F"/>
    <w:rsid w:val="00DA0A37"/>
    <w:rsid w:val="00DD5CA9"/>
    <w:rsid w:val="00DD73A3"/>
    <w:rsid w:val="00DE2F3D"/>
    <w:rsid w:val="00E1506F"/>
    <w:rsid w:val="00E2090C"/>
    <w:rsid w:val="00E25C9A"/>
    <w:rsid w:val="00E8172C"/>
    <w:rsid w:val="00E95234"/>
    <w:rsid w:val="00EA5E05"/>
    <w:rsid w:val="00EA5EF7"/>
    <w:rsid w:val="00EB7DB1"/>
    <w:rsid w:val="00EE2E61"/>
    <w:rsid w:val="00F50B08"/>
    <w:rsid w:val="00FA6A75"/>
    <w:rsid w:val="00FD1E96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  <w:style w:type="table" w:styleId="a9">
    <w:name w:val="Table Grid"/>
    <w:basedOn w:val="a1"/>
    <w:uiPriority w:val="59"/>
    <w:rsid w:val="009625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31</cp:revision>
  <cp:lastPrinted>2018-08-10T05:47:00Z</cp:lastPrinted>
  <dcterms:created xsi:type="dcterms:W3CDTF">2017-08-29T13:54:00Z</dcterms:created>
  <dcterms:modified xsi:type="dcterms:W3CDTF">2018-08-15T13:46:00Z</dcterms:modified>
</cp:coreProperties>
</file>