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2E" w:rsidRPr="002E0122" w:rsidRDefault="00EA5A2E" w:rsidP="001149BA">
      <w:pPr>
        <w:pStyle w:val="1"/>
        <w:shd w:val="clear" w:color="auto" w:fill="FFFFFF"/>
        <w:spacing w:before="0" w:beforeAutospacing="0" w:after="0" w:afterAutospacing="0"/>
        <w:jc w:val="center"/>
        <w:rPr>
          <w:sz w:val="28"/>
          <w:szCs w:val="28"/>
        </w:rPr>
      </w:pPr>
      <w:r w:rsidRPr="002E0122">
        <w:rPr>
          <w:sz w:val="28"/>
          <w:szCs w:val="28"/>
        </w:rPr>
        <w:t>Особливості державної реєстрації прав на земельні ділянки державної та комунальної власності при передачі їх у власність або користування</w:t>
      </w:r>
    </w:p>
    <w:p w:rsidR="00EA5A2E" w:rsidRPr="002E0122" w:rsidRDefault="00EA5A2E" w:rsidP="00EA5A2E">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EA5A2E" w:rsidRPr="002E0122" w:rsidRDefault="00EA5A2E" w:rsidP="00EA5A2E">
      <w:pPr>
        <w:shd w:val="clear" w:color="auto" w:fill="FFFFFF"/>
        <w:spacing w:after="0" w:line="240" w:lineRule="auto"/>
        <w:ind w:firstLine="708"/>
        <w:jc w:val="both"/>
        <w:rPr>
          <w:rFonts w:ascii="Open Sans" w:eastAsia="Times New Roman" w:hAnsi="Open Sans" w:cs="Times New Roman"/>
          <w:color w:val="000000"/>
          <w:sz w:val="28"/>
          <w:szCs w:val="28"/>
        </w:rPr>
      </w:pPr>
      <w:bookmarkStart w:id="0" w:name="_GoBack"/>
      <w:r w:rsidRPr="002E0122">
        <w:rPr>
          <w:rFonts w:ascii="Times New Roman" w:eastAsia="Times New Roman" w:hAnsi="Times New Roman" w:cs="Times New Roman"/>
          <w:color w:val="000000"/>
          <w:sz w:val="28"/>
          <w:szCs w:val="28"/>
        </w:rPr>
        <w:t>Проведення в Україні за останні роки значних реформ законодавства безпосередньо вплинуло на сферу державної реєстрації речових прав на нерухоме майно. Так, слід звернути увагу на внесені зміни та доповнення до Закону України «Про державну реєстрацію речових прав на</w:t>
      </w:r>
      <w:r w:rsidR="002E0122">
        <w:rPr>
          <w:rFonts w:ascii="Times New Roman" w:eastAsia="Times New Roman" w:hAnsi="Times New Roman" w:cs="Times New Roman"/>
          <w:color w:val="000000"/>
          <w:sz w:val="28"/>
          <w:szCs w:val="28"/>
        </w:rPr>
        <w:t xml:space="preserve"> нерухоме майно та їх обтяжень» </w:t>
      </w:r>
      <w:r w:rsidRPr="002E0122">
        <w:rPr>
          <w:rFonts w:ascii="Times New Roman" w:eastAsia="Times New Roman" w:hAnsi="Times New Roman" w:cs="Times New Roman"/>
          <w:color w:val="000000"/>
          <w:sz w:val="28"/>
          <w:szCs w:val="28"/>
        </w:rPr>
        <w:t>(далі – Закон) щодо визначення деяких особливостей державної реєстрації речових прав на земельні ділянки державної та комунальної власності, які полягають, зокрема в одночасності державної реєстрації права власності держави чи територіальної громади на земельну ділянку з державною реєстрацією похідного речового права на неї, при передачі земельних ділянок у власність або користування.</w:t>
      </w:r>
    </w:p>
    <w:p w:rsidR="00EA5A2E" w:rsidRPr="002E0122" w:rsidRDefault="00EA5A2E" w:rsidP="00EA5A2E">
      <w:pPr>
        <w:shd w:val="clear" w:color="auto" w:fill="FFFFFF"/>
        <w:spacing w:after="0" w:line="240" w:lineRule="auto"/>
        <w:ind w:firstLine="708"/>
        <w:jc w:val="both"/>
        <w:rPr>
          <w:rFonts w:ascii="Open Sans" w:eastAsia="Times New Roman" w:hAnsi="Open Sans" w:cs="Times New Roman"/>
          <w:color w:val="000000"/>
          <w:sz w:val="28"/>
          <w:szCs w:val="28"/>
        </w:rPr>
      </w:pPr>
      <w:r w:rsidRPr="002E0122">
        <w:rPr>
          <w:rFonts w:ascii="Times New Roman" w:eastAsia="Times New Roman" w:hAnsi="Times New Roman" w:cs="Times New Roman"/>
          <w:color w:val="000000"/>
          <w:sz w:val="28"/>
          <w:szCs w:val="28"/>
        </w:rPr>
        <w:t>Відповідно до норм Земельного кодексу України 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законом.</w:t>
      </w:r>
    </w:p>
    <w:p w:rsidR="00EA5A2E" w:rsidRPr="002E0122" w:rsidRDefault="00EA5A2E" w:rsidP="00EA5A2E">
      <w:pPr>
        <w:shd w:val="clear" w:color="auto" w:fill="FFFFFF"/>
        <w:spacing w:after="0" w:line="240" w:lineRule="auto"/>
        <w:ind w:firstLine="708"/>
        <w:jc w:val="both"/>
        <w:rPr>
          <w:rFonts w:ascii="Open Sans" w:eastAsia="Times New Roman" w:hAnsi="Open Sans" w:cs="Times New Roman"/>
          <w:color w:val="000000"/>
          <w:sz w:val="28"/>
          <w:szCs w:val="28"/>
        </w:rPr>
      </w:pPr>
      <w:r w:rsidRPr="002E0122">
        <w:rPr>
          <w:rFonts w:ascii="Times New Roman" w:eastAsia="Times New Roman" w:hAnsi="Times New Roman" w:cs="Times New Roman"/>
          <w:color w:val="000000"/>
          <w:sz w:val="28"/>
          <w:szCs w:val="28"/>
        </w:rPr>
        <w:t>На даний час особливості державної реєстрації прав на земельні ділянки державної та комунальної власності врегульовано статтею 28 Закону, відповідно до якої рішення органів державної влади або органів місцевого самоврядування про передачу земельної ділянки у власність або користування (постійне користування, оренду, користування земельною ділянкою для сільськогосподарських потреб (емфітевзис), користування чужою земельною ділянкою для забудови (</w:t>
      </w:r>
      <w:proofErr w:type="spellStart"/>
      <w:r w:rsidRPr="002E0122">
        <w:rPr>
          <w:rFonts w:ascii="Times New Roman" w:eastAsia="Times New Roman" w:hAnsi="Times New Roman" w:cs="Times New Roman"/>
          <w:color w:val="000000"/>
          <w:sz w:val="28"/>
          <w:szCs w:val="28"/>
        </w:rPr>
        <w:t>суперфіцій</w:t>
      </w:r>
      <w:proofErr w:type="spellEnd"/>
      <w:r w:rsidRPr="002E0122">
        <w:rPr>
          <w:rFonts w:ascii="Times New Roman" w:eastAsia="Times New Roman" w:hAnsi="Times New Roman" w:cs="Times New Roman"/>
          <w:color w:val="000000"/>
          <w:sz w:val="28"/>
          <w:szCs w:val="28"/>
        </w:rPr>
        <w:t>), сервітут) можуть прийматися за відсутності державної реєстрації права власності держави чи територіальної громади на таку земельну ділянку в Державному реєстрі речових прав на нерухоме майно</w:t>
      </w:r>
      <w:r w:rsidR="002E0122">
        <w:rPr>
          <w:rFonts w:ascii="Times New Roman" w:eastAsia="Times New Roman" w:hAnsi="Times New Roman" w:cs="Times New Roman"/>
          <w:color w:val="000000"/>
          <w:sz w:val="28"/>
          <w:szCs w:val="28"/>
        </w:rPr>
        <w:t xml:space="preserve"> </w:t>
      </w:r>
      <w:r w:rsidRPr="002E0122">
        <w:rPr>
          <w:rFonts w:ascii="Times New Roman" w:eastAsia="Times New Roman" w:hAnsi="Times New Roman" w:cs="Times New Roman"/>
          <w:color w:val="000000"/>
          <w:sz w:val="28"/>
          <w:szCs w:val="28"/>
        </w:rPr>
        <w:t>(далі – Державний реєстр прав).</w:t>
      </w:r>
    </w:p>
    <w:p w:rsidR="00EA5A2E" w:rsidRPr="002E0122" w:rsidRDefault="00EA5A2E" w:rsidP="00EA5A2E">
      <w:pPr>
        <w:shd w:val="clear" w:color="auto" w:fill="FFFFFF"/>
        <w:spacing w:after="0" w:line="240" w:lineRule="auto"/>
        <w:ind w:firstLine="708"/>
        <w:jc w:val="both"/>
        <w:rPr>
          <w:rFonts w:ascii="Open Sans" w:eastAsia="Times New Roman" w:hAnsi="Open Sans" w:cs="Times New Roman"/>
          <w:color w:val="000000"/>
          <w:sz w:val="28"/>
          <w:szCs w:val="28"/>
        </w:rPr>
      </w:pPr>
      <w:r w:rsidRPr="002E0122">
        <w:rPr>
          <w:rFonts w:ascii="Times New Roman" w:eastAsia="Times New Roman" w:hAnsi="Times New Roman" w:cs="Times New Roman"/>
          <w:color w:val="000000"/>
          <w:sz w:val="28"/>
          <w:szCs w:val="28"/>
        </w:rPr>
        <w:t>Також, стаття 28 Закону визначає, що під час проведення державної реєстрації права користування (постійне користування, оренда, користування земельною ділянкою для сільськогосподарських потреб (емфітевзис), користування чужою земельною ділянкою для забудови (</w:t>
      </w:r>
      <w:proofErr w:type="spellStart"/>
      <w:r w:rsidRPr="002E0122">
        <w:rPr>
          <w:rFonts w:ascii="Times New Roman" w:eastAsia="Times New Roman" w:hAnsi="Times New Roman" w:cs="Times New Roman"/>
          <w:color w:val="000000"/>
          <w:sz w:val="28"/>
          <w:szCs w:val="28"/>
        </w:rPr>
        <w:t>суперфіцій</w:t>
      </w:r>
      <w:proofErr w:type="spellEnd"/>
      <w:r w:rsidRPr="002E0122">
        <w:rPr>
          <w:rFonts w:ascii="Times New Roman" w:eastAsia="Times New Roman" w:hAnsi="Times New Roman" w:cs="Times New Roman"/>
          <w:color w:val="000000"/>
          <w:sz w:val="28"/>
          <w:szCs w:val="28"/>
        </w:rPr>
        <w:t>), сервітут) земельними ділянками державної чи комунальної власності, право власності на які не зареєстровано в Державному реєстрі прав, державний реєстратор одночасно з проведенням такої реєстрації проводить також державну реєстрацію права власності на такі земельні ділянки без подання відповідної заяви органами, які передають земельні ділянки у власність або у користування, оскільки, рішення органу виконавчої влади чи органу місцевого самоврядування про передачу земельної ділянки у користування і </w:t>
      </w:r>
      <w:r w:rsidRPr="002E0122">
        <w:rPr>
          <w:rFonts w:ascii="Times New Roman" w:eastAsia="Times New Roman" w:hAnsi="Times New Roman" w:cs="Times New Roman"/>
          <w:color w:val="000000"/>
          <w:sz w:val="28"/>
          <w:szCs w:val="28"/>
          <w:u w:val="single"/>
        </w:rPr>
        <w:t>буде вважатися  заявою про здійснення державної реєстрації права власності</w:t>
      </w:r>
      <w:r w:rsidRPr="002E0122">
        <w:rPr>
          <w:rFonts w:ascii="Times New Roman" w:eastAsia="Times New Roman" w:hAnsi="Times New Roman" w:cs="Times New Roman"/>
          <w:color w:val="000000"/>
          <w:sz w:val="28"/>
          <w:szCs w:val="28"/>
        </w:rPr>
        <w:t> держави чи територіальної громади на зазначену земельну ділянку.</w:t>
      </w:r>
    </w:p>
    <w:p w:rsidR="00EA5A2E" w:rsidRPr="002E0122" w:rsidRDefault="00EA5A2E" w:rsidP="00EA5A2E">
      <w:pPr>
        <w:shd w:val="clear" w:color="auto" w:fill="FFFFFF"/>
        <w:spacing w:after="0" w:line="240" w:lineRule="auto"/>
        <w:ind w:firstLine="708"/>
        <w:jc w:val="both"/>
        <w:rPr>
          <w:rFonts w:ascii="Open Sans" w:eastAsia="Times New Roman" w:hAnsi="Open Sans" w:cs="Times New Roman"/>
          <w:color w:val="000000"/>
          <w:sz w:val="28"/>
          <w:szCs w:val="28"/>
        </w:rPr>
      </w:pPr>
      <w:r w:rsidRPr="002E0122">
        <w:rPr>
          <w:rFonts w:ascii="Times New Roman" w:eastAsia="Times New Roman" w:hAnsi="Times New Roman" w:cs="Times New Roman"/>
          <w:color w:val="000000"/>
          <w:sz w:val="28"/>
          <w:szCs w:val="28"/>
        </w:rPr>
        <w:t xml:space="preserve">Таким чином, згідно вищезазначених норм законодавства, реєстрацію похідних речових прав на земельні ділянки державної та комунальної власності (постійного користування, оренди, користування земельною ділянкою для сільськогосподарських потреб (емфітевзису) тощо) можна проводити не після </w:t>
      </w:r>
      <w:r w:rsidRPr="002E0122">
        <w:rPr>
          <w:rFonts w:ascii="Times New Roman" w:eastAsia="Times New Roman" w:hAnsi="Times New Roman" w:cs="Times New Roman"/>
          <w:color w:val="000000"/>
          <w:sz w:val="28"/>
          <w:szCs w:val="28"/>
        </w:rPr>
        <w:lastRenderedPageBreak/>
        <w:t>державної реєстрації права власності держави або територіальної громади на ці земельні ділянки, а одночасно з реєстрацією похідного речового права на земельну ділянку.</w:t>
      </w:r>
    </w:p>
    <w:p w:rsidR="00EA5A2E" w:rsidRPr="002E0122" w:rsidRDefault="00EA5A2E" w:rsidP="00EA5A2E">
      <w:pPr>
        <w:shd w:val="clear" w:color="auto" w:fill="FFFFFF"/>
        <w:spacing w:after="0" w:line="240" w:lineRule="auto"/>
        <w:ind w:firstLine="708"/>
        <w:jc w:val="both"/>
        <w:rPr>
          <w:rFonts w:ascii="Open Sans" w:eastAsia="Times New Roman" w:hAnsi="Open Sans" w:cs="Times New Roman"/>
          <w:color w:val="000000"/>
          <w:sz w:val="28"/>
          <w:szCs w:val="28"/>
        </w:rPr>
      </w:pPr>
      <w:r w:rsidRPr="002E0122">
        <w:rPr>
          <w:rFonts w:ascii="Times New Roman" w:eastAsia="Times New Roman" w:hAnsi="Times New Roman" w:cs="Times New Roman"/>
          <w:color w:val="000000"/>
          <w:sz w:val="28"/>
          <w:szCs w:val="28"/>
        </w:rPr>
        <w:t>Тобто, набувач (орендар, користувач) разом з заявою про державну реєстрацію речового права, що є похідним від права власності, подає рішення органу виконавчої влади чи органу місцевого самоврядування про передачу земельної ділянки у користування та документи, необхідні для проведення державної реєстрації похідного речового права, передбачені законодавством. </w:t>
      </w:r>
    </w:p>
    <w:p w:rsidR="00B155A4" w:rsidRPr="002E0122" w:rsidRDefault="00EA5A2E" w:rsidP="00EA5A2E">
      <w:pPr>
        <w:shd w:val="clear" w:color="auto" w:fill="FFFFFF"/>
        <w:spacing w:after="0" w:line="240" w:lineRule="auto"/>
        <w:ind w:firstLine="708"/>
        <w:jc w:val="both"/>
        <w:rPr>
          <w:rFonts w:ascii="Open Sans" w:eastAsia="Times New Roman" w:hAnsi="Open Sans" w:cs="Times New Roman"/>
          <w:color w:val="000000"/>
          <w:sz w:val="28"/>
          <w:szCs w:val="28"/>
        </w:rPr>
      </w:pPr>
      <w:r w:rsidRPr="002E0122">
        <w:rPr>
          <w:rFonts w:ascii="Times New Roman" w:eastAsia="Times New Roman" w:hAnsi="Times New Roman" w:cs="Times New Roman"/>
          <w:color w:val="000000"/>
          <w:sz w:val="28"/>
          <w:szCs w:val="28"/>
        </w:rPr>
        <w:t>Отже, передача органами державної влади або місцевого самоврядування земельних ділянок у власність або користування може здійснюватися без державної реєстрації права власності держави чи територіальної громади на таку земельну ділянку, оскільки вона проводиться одночасно з реєстрацією права користування земельними ділянками державної чи комунальної власності, без подання органами, які здійснюють таку передачу, заяви про державну реєстрацію права власності на земельну ділянку, що передається.</w:t>
      </w:r>
    </w:p>
    <w:p w:rsidR="002E0122" w:rsidRDefault="002E0122" w:rsidP="002E0122">
      <w:pPr>
        <w:spacing w:after="0"/>
        <w:ind w:left="4678"/>
        <w:rPr>
          <w:rFonts w:ascii="Times New Roman" w:hAnsi="Times New Roman" w:cs="Times New Roman"/>
          <w:i/>
          <w:sz w:val="28"/>
          <w:szCs w:val="28"/>
          <w:lang w:eastAsia="ru-RU"/>
        </w:rPr>
      </w:pPr>
    </w:p>
    <w:p w:rsidR="002E0122" w:rsidRPr="001149BA" w:rsidRDefault="002E0122" w:rsidP="001149BA">
      <w:pPr>
        <w:spacing w:after="0"/>
        <w:jc w:val="both"/>
        <w:rPr>
          <w:rFonts w:ascii="Times New Roman" w:hAnsi="Times New Roman" w:cs="Times New Roman"/>
          <w:i/>
          <w:sz w:val="28"/>
          <w:szCs w:val="28"/>
          <w:lang w:eastAsia="ru-RU"/>
        </w:rPr>
      </w:pPr>
      <w:r w:rsidRPr="00443031">
        <w:rPr>
          <w:rFonts w:ascii="Times New Roman" w:hAnsi="Times New Roman" w:cs="Times New Roman"/>
          <w:i/>
          <w:sz w:val="28"/>
          <w:szCs w:val="28"/>
          <w:lang w:eastAsia="ru-RU"/>
        </w:rPr>
        <w:t>Інформує управління державної реєстрації Головного територіального управління юстиції в Одеській області</w:t>
      </w:r>
      <w:bookmarkEnd w:id="0"/>
    </w:p>
    <w:sectPr w:rsidR="002E0122" w:rsidRPr="001149BA" w:rsidSect="00EA5A2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2E"/>
    <w:rsid w:val="000B4AD2"/>
    <w:rsid w:val="001149BA"/>
    <w:rsid w:val="002E0122"/>
    <w:rsid w:val="00B155A4"/>
    <w:rsid w:val="00EA5A2E"/>
    <w:rsid w:val="00F67AC0"/>
    <w:rsid w:val="00F70E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5A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A2E"/>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5A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A2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2642</Words>
  <Characters>1506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User1</cp:lastModifiedBy>
  <cp:revision>3</cp:revision>
  <cp:lastPrinted>2018-07-30T11:19:00Z</cp:lastPrinted>
  <dcterms:created xsi:type="dcterms:W3CDTF">2018-08-30T12:29:00Z</dcterms:created>
  <dcterms:modified xsi:type="dcterms:W3CDTF">2018-08-30T13:03:00Z</dcterms:modified>
</cp:coreProperties>
</file>