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9" w:rsidRPr="004B7A92" w:rsidRDefault="005747F9" w:rsidP="005747F9">
      <w:pPr>
        <w:rPr>
          <w:rFonts w:cs="Arial"/>
          <w:b/>
          <w:sz w:val="20"/>
        </w:rPr>
      </w:pPr>
      <w:r w:rsidRPr="004B7A92">
        <w:rPr>
          <w:rFonts w:cs="Arial"/>
          <w:b/>
          <w:sz w:val="20"/>
        </w:rPr>
        <w:t>ВИДИ ЗАПОБІЖНИХ ЗАХОДІВ У КРИМІНАЛЬНОМУ ПРОЦЕСІ</w:t>
      </w:r>
    </w:p>
    <w:p w:rsidR="005747F9" w:rsidRPr="00F8586F" w:rsidRDefault="005747F9" w:rsidP="005747F9">
      <w:pPr>
        <w:rPr>
          <w:rFonts w:cs="Arial"/>
          <w:sz w:val="20"/>
        </w:rPr>
      </w:pP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Для чого потрібен запобіжний захід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 xml:space="preserve">Виключною (єдиною) метою застосування </w:t>
      </w:r>
      <w:proofErr w:type="spellStart"/>
      <w:r w:rsidRPr="00F8586F">
        <w:rPr>
          <w:rFonts w:cs="Arial"/>
          <w:sz w:val="20"/>
        </w:rPr>
        <w:t>запобіж¬ного</w:t>
      </w:r>
      <w:proofErr w:type="spellEnd"/>
      <w:r w:rsidRPr="00F8586F">
        <w:rPr>
          <w:rFonts w:cs="Arial"/>
          <w:sz w:val="20"/>
        </w:rPr>
        <w:t xml:space="preserve"> заходу є забезпечення виконання підозрюваним (обвинуваченим) покладених на нього процесуальних обов’язків.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Застосування запобіжних заходів завжди пов’язане із необхідністю запобігти наступним ризикам:</w:t>
      </w:r>
    </w:p>
    <w:p w:rsidR="005747F9" w:rsidRPr="00F8586F" w:rsidRDefault="005747F9" w:rsidP="005747F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невиконання взятих на себе процесуальних обов’язків;</w:t>
      </w:r>
    </w:p>
    <w:p w:rsidR="005747F9" w:rsidRPr="00F8586F" w:rsidRDefault="005747F9" w:rsidP="005747F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переховування від органів досудового розслідування або суду;</w:t>
      </w:r>
    </w:p>
    <w:p w:rsidR="005747F9" w:rsidRPr="00F8586F" w:rsidRDefault="005747F9" w:rsidP="005747F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знищення, приховування або спотворення доказів;</w:t>
      </w:r>
    </w:p>
    <w:p w:rsidR="005747F9" w:rsidRPr="00F8586F" w:rsidRDefault="005747F9" w:rsidP="005747F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незаконний вплив на учасників судового процесу;</w:t>
      </w:r>
    </w:p>
    <w:p w:rsidR="005747F9" w:rsidRPr="00F8586F" w:rsidRDefault="005747F9" w:rsidP="005747F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перешкоджання кримінальному провадженню іншим чином;</w:t>
      </w:r>
    </w:p>
    <w:p w:rsidR="005747F9" w:rsidRPr="00F8586F" w:rsidRDefault="005747F9" w:rsidP="005747F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вчинення іншого кримінального правопорушення чи продовження вчинення правопорушення підозрюваним (обвинуваченим), у якому ця особа підозрюється.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 xml:space="preserve">Якщо немає вагомих підстав вважати, що принаймні один із перелічених ризиків справді існує, запобіжний захід не може бути застосований. Слідчий має </w:t>
      </w:r>
      <w:proofErr w:type="spellStart"/>
      <w:r w:rsidRPr="00F8586F">
        <w:rPr>
          <w:rFonts w:cs="Arial"/>
          <w:sz w:val="20"/>
        </w:rPr>
        <w:t>дове¬сти</w:t>
      </w:r>
      <w:proofErr w:type="spellEnd"/>
      <w:r w:rsidRPr="00F8586F">
        <w:rPr>
          <w:rFonts w:cs="Arial"/>
          <w:sz w:val="20"/>
        </w:rPr>
        <w:t xml:space="preserve"> суду, що ризик вчинення перелічених дій існує, а жоден із більш м’яких запобіжних заходів не може цьому запобігти.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При застосуванні будь-якого запобіжного заходу, крім тримання під вартою, суд може визначити додаткові обмеження, а саме зобов’язати: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періодично прибувати до визначеної службової особи;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не відлучатися без дозволу із населеного пункту, в якому підозрюваний (обвинувачений) зареєстрований, про живає чи перебуває;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повідомляти слідчого, прокурора чи суд про зміну місця проживання та/або місця роботи;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не спілкуватися з певною особою або спілкуватися з нею з дотриманням визначених суддею умов;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не відвідувати визначені суддею місця;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пройти курс лікування від наркотичної або алкогольної залежності;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докласти зусиль до пошуку роботи або навчання;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здати на зберігання закордонний паспорт чи інші документи, що дають право підозрюваному (обвинуваченому) на виїзд із України і в’їзд в Україну;</w:t>
      </w:r>
    </w:p>
    <w:p w:rsidR="005747F9" w:rsidRPr="00F8586F" w:rsidRDefault="005747F9" w:rsidP="005747F9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носити електронний засіб контролю.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Додаткові обов’язки покладаються на строк не більше двох місяців. У разі необхідності цей строк може бути продовжений судом за клопотанням слідчого.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Від чого залежить вибір запобіжного заходу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На рішення суду впливають такі обставини: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вагомість наявних доказів </w:t>
      </w:r>
      <w:r w:rsidRPr="00F8586F">
        <w:rPr>
          <w:rFonts w:cs="Arial"/>
          <w:sz w:val="20"/>
        </w:rPr>
        <w:t>про вчинення правопорушення та тяжкість передбаченого за нього покарання;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вік </w:t>
      </w:r>
      <w:r w:rsidRPr="00F8586F">
        <w:rPr>
          <w:rFonts w:cs="Arial"/>
          <w:sz w:val="20"/>
        </w:rPr>
        <w:t>(якщо особа є неповнолітньою або навпаки, літньою лю</w:t>
      </w:r>
      <w:r w:rsidRPr="00F8586F">
        <w:rPr>
          <w:rFonts w:cs="Arial"/>
          <w:sz w:val="20"/>
        </w:rPr>
        <w:softHyphen/>
        <w:t>диною) та стан здоров’я (наявність тяжких хвороб, інвалідно</w:t>
      </w:r>
      <w:r w:rsidRPr="00F8586F">
        <w:rPr>
          <w:rFonts w:cs="Arial"/>
          <w:sz w:val="20"/>
        </w:rPr>
        <w:softHyphen/>
        <w:t>сті, нездатність самостійно пересуватися);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соціальні зв’язки, </w:t>
      </w:r>
      <w:r w:rsidRPr="00F8586F">
        <w:rPr>
          <w:rFonts w:cs="Arial"/>
          <w:sz w:val="20"/>
        </w:rPr>
        <w:t>у тому числі сімейний стан, наявність та вік дітей, утримання недієздатних чи інших осіб;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наявність постійного місця роботи або навчання, добра репу</w:t>
      </w:r>
      <w:r w:rsidRPr="00F8586F">
        <w:rPr>
          <w:rFonts w:cs="Arial"/>
          <w:sz w:val="20"/>
        </w:rPr>
        <w:softHyphen/>
        <w:t>тація, майновий стан;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наявність судимостей </w:t>
      </w:r>
      <w:r w:rsidRPr="00F8586F">
        <w:rPr>
          <w:rFonts w:cs="Arial"/>
          <w:sz w:val="20"/>
        </w:rPr>
        <w:t>та дотримання умов запобіжних заходів, якщо вони застосовувалися раніше;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 xml:space="preserve">наявність обґрунтованої підозри </w:t>
      </w:r>
      <w:r w:rsidRPr="00F8586F">
        <w:rPr>
          <w:rFonts w:cs="Arial"/>
          <w:b/>
          <w:bCs/>
          <w:sz w:val="20"/>
        </w:rPr>
        <w:t xml:space="preserve">у вчиненні іншого </w:t>
      </w:r>
      <w:r w:rsidRPr="00F8586F">
        <w:rPr>
          <w:rFonts w:cs="Arial"/>
          <w:sz w:val="20"/>
        </w:rPr>
        <w:t>кримі</w:t>
      </w:r>
      <w:r w:rsidRPr="00F8586F">
        <w:rPr>
          <w:rFonts w:cs="Arial"/>
          <w:sz w:val="20"/>
        </w:rPr>
        <w:softHyphen/>
        <w:t>нального правопорушення;</w:t>
      </w:r>
    </w:p>
    <w:p w:rsidR="005747F9" w:rsidRPr="00F8586F" w:rsidRDefault="005747F9" w:rsidP="005747F9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розмір майнової шкоди, </w:t>
      </w:r>
      <w:r w:rsidRPr="00F8586F">
        <w:rPr>
          <w:rFonts w:cs="Arial"/>
          <w:sz w:val="20"/>
        </w:rPr>
        <w:t>у спричиненні якої підозрюється або обвинувачується особа, або розмір доходу, в отриманні якого внаслідок вчинення кримінального правопорушення вона підозрюється або обвинувачується.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 xml:space="preserve">При застосуванні запобіжного заходу </w:t>
      </w:r>
      <w:r w:rsidRPr="00F8586F">
        <w:rPr>
          <w:rFonts w:cs="Arial"/>
          <w:b/>
          <w:bCs/>
          <w:sz w:val="20"/>
        </w:rPr>
        <w:t>не можуть враховува</w:t>
      </w:r>
      <w:r w:rsidRPr="00F8586F">
        <w:rPr>
          <w:rFonts w:cs="Arial"/>
          <w:b/>
          <w:bCs/>
          <w:sz w:val="20"/>
        </w:rPr>
        <w:softHyphen/>
        <w:t xml:space="preserve">тися інші обставини, </w:t>
      </w:r>
      <w:r w:rsidRPr="00F8586F">
        <w:rPr>
          <w:rFonts w:cs="Arial"/>
          <w:sz w:val="20"/>
        </w:rPr>
        <w:t>наприклад, невизнання підозрюваним (обвинуваченим) своєї вини, поведінка цієї особи у суді тощо.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  <w:t>Тяжкість обвинувачення та можливого покарання не може сама по собі бути підставою для застосування запобіжного заходу, але може враховуватися серед інших обставин, що свідчать «за» чи «проти» застосу</w:t>
      </w:r>
      <w:r w:rsidRPr="00F8586F">
        <w:rPr>
          <w:rFonts w:cs="Arial"/>
          <w:b/>
          <w:bCs/>
          <w:sz w:val="20"/>
        </w:rPr>
        <w:softHyphen/>
        <w:t>вання запобіжного заходу.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 xml:space="preserve">В ухвалі суду має бути вказаний </w:t>
      </w:r>
      <w:r w:rsidRPr="00F8586F">
        <w:rPr>
          <w:rFonts w:cs="Arial"/>
          <w:b/>
          <w:bCs/>
          <w:sz w:val="20"/>
        </w:rPr>
        <w:t xml:space="preserve">період, </w:t>
      </w:r>
      <w:r w:rsidRPr="00F8586F">
        <w:rPr>
          <w:rFonts w:cs="Arial"/>
          <w:sz w:val="20"/>
        </w:rPr>
        <w:t>на який застосовується запобіжний захід.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ab/>
        <w:t xml:space="preserve">Дія ухвали </w:t>
      </w:r>
      <w:r w:rsidRPr="00F8586F">
        <w:rPr>
          <w:rFonts w:cs="Arial"/>
          <w:sz w:val="20"/>
        </w:rPr>
        <w:t>про обрання запобіжного заходу припиняється по закінченню строку, на який її було постановлено судом.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Права та дії при обранні запобіжного заходу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bookmarkStart w:id="0" w:name="bookmark6"/>
      <w:r w:rsidRPr="00F8586F">
        <w:rPr>
          <w:rFonts w:cs="Arial"/>
          <w:sz w:val="20"/>
        </w:rPr>
        <w:lastRenderedPageBreak/>
        <w:tab/>
        <w:t>Суд зобов’язаний вжити заходів для забезпечення підозрюваного або обвинуваченого адвокатом і відкласти розгляд на потрібний для цього час, якщо:</w:t>
      </w:r>
      <w:bookmarkEnd w:id="0"/>
    </w:p>
    <w:p w:rsidR="005747F9" w:rsidRPr="00F8586F" w:rsidRDefault="005747F9" w:rsidP="005747F9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у особи немає адвоката, але вона бажає його мати та заявила клопотання про це;</w:t>
      </w:r>
    </w:p>
    <w:p w:rsidR="005747F9" w:rsidRPr="00F8586F" w:rsidRDefault="005747F9" w:rsidP="005747F9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участь захисника є обов’язковою за законом;</w:t>
      </w:r>
    </w:p>
    <w:p w:rsidR="005747F9" w:rsidRPr="00F8586F" w:rsidRDefault="005747F9" w:rsidP="005747F9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>суд вирішить, що участь захисника необхідна.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Не слід відмовлятись від кваліфікованої правової допомоги адвоката.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bookmarkStart w:id="1" w:name="bookmark7"/>
      <w:r w:rsidRPr="00F8586F">
        <w:rPr>
          <w:rFonts w:cs="Arial"/>
          <w:sz w:val="20"/>
        </w:rPr>
        <w:tab/>
        <w:t>Суд під час розгляду зобов’язаний роз’ясни</w:t>
      </w:r>
      <w:r w:rsidRPr="00F8586F">
        <w:rPr>
          <w:rFonts w:cs="Arial"/>
          <w:sz w:val="20"/>
        </w:rPr>
        <w:softHyphen/>
        <w:t xml:space="preserve">ти підозрюваному (обвинуваченому) </w:t>
      </w:r>
      <w:r w:rsidRPr="00F8586F">
        <w:rPr>
          <w:rFonts w:cs="Arial"/>
          <w:b/>
          <w:bCs/>
          <w:sz w:val="20"/>
        </w:rPr>
        <w:t>права:</w:t>
      </w:r>
      <w:bookmarkEnd w:id="1"/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вважатися невинуватим </w:t>
      </w:r>
      <w:r w:rsidRPr="00F8586F">
        <w:rPr>
          <w:rFonts w:cs="Arial"/>
          <w:sz w:val="20"/>
        </w:rPr>
        <w:t xml:space="preserve">поки вину не доведено в суді 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мати захисника;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знати </w:t>
      </w:r>
      <w:r w:rsidRPr="00F8586F">
        <w:rPr>
          <w:rFonts w:cs="Arial"/>
          <w:sz w:val="20"/>
        </w:rPr>
        <w:t>у чому і чому підозрюють;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відмовитися </w:t>
      </w:r>
      <w:r w:rsidRPr="00F8586F">
        <w:rPr>
          <w:rFonts w:cs="Arial"/>
          <w:sz w:val="20"/>
        </w:rPr>
        <w:t>давати будь-які пояснення;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давати пояснення </w:t>
      </w:r>
      <w:r w:rsidRPr="00F8586F">
        <w:rPr>
          <w:rFonts w:cs="Arial"/>
          <w:sz w:val="20"/>
        </w:rPr>
        <w:t>щодо будь-яких обставин, важливих для обрання запобіжного заходу;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досліджувати речові докази, </w:t>
      </w:r>
      <w:r w:rsidRPr="00F8586F">
        <w:rPr>
          <w:rFonts w:cs="Arial"/>
          <w:sz w:val="20"/>
        </w:rPr>
        <w:t>документи, показання, на які посилається прокурор, та спростовувати їх іншими документами, речами, показаннями свідків тощо;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заявити про виклик свідків </w:t>
      </w:r>
      <w:r w:rsidRPr="00F8586F">
        <w:rPr>
          <w:rFonts w:cs="Arial"/>
          <w:sz w:val="20"/>
        </w:rPr>
        <w:t>та дослідження інших доказів, які свідчать на його користь;</w:t>
      </w:r>
    </w:p>
    <w:p w:rsidR="005747F9" w:rsidRPr="00F8586F" w:rsidRDefault="005747F9" w:rsidP="005747F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оскаржувати </w:t>
      </w:r>
      <w:r w:rsidRPr="00F8586F">
        <w:rPr>
          <w:rFonts w:cs="Arial"/>
          <w:sz w:val="20"/>
        </w:rPr>
        <w:t>застосування запобіжного заходу.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  <w:t>Підозрюваний (обвинувачений) може обґрунтовува</w:t>
      </w:r>
      <w:r w:rsidRPr="00F8586F">
        <w:rPr>
          <w:rFonts w:cs="Arial"/>
          <w:b/>
          <w:bCs/>
          <w:sz w:val="20"/>
        </w:rPr>
        <w:softHyphen/>
        <w:t>ти відсутність підстав підозрювати його у вчиненні злочину, але слід пам’ятати, що у цьому розгляді не вирішується питання про винуватість.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Якщо докази були отримані внаслідок істотного порушення прав підозрюваного (обвинуваченого), слід подати клопо</w:t>
      </w:r>
      <w:r w:rsidRPr="00F8586F">
        <w:rPr>
          <w:rFonts w:cs="Arial"/>
          <w:sz w:val="20"/>
        </w:rPr>
        <w:softHyphen/>
        <w:t xml:space="preserve">тання про визнання їх </w:t>
      </w:r>
      <w:r w:rsidRPr="00F8586F">
        <w:rPr>
          <w:rFonts w:cs="Arial"/>
          <w:b/>
          <w:bCs/>
          <w:sz w:val="20"/>
        </w:rPr>
        <w:t xml:space="preserve">недопустимими: </w:t>
      </w:r>
      <w:r w:rsidRPr="00F8586F">
        <w:rPr>
          <w:rFonts w:cs="Arial"/>
          <w:sz w:val="20"/>
        </w:rPr>
        <w:t>такі докази не бу</w:t>
      </w:r>
      <w:r w:rsidRPr="00F8586F">
        <w:rPr>
          <w:rFonts w:cs="Arial"/>
          <w:sz w:val="20"/>
        </w:rPr>
        <w:softHyphen/>
        <w:t>дуть використані ні на етапі досудового слідства, ані в суді.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Що таке запобіжний захід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Якщо особу підозрюють або обвинувачують у вчиненні кримінального правопорушення, до неї на період досудового слідства можуть бути застосовані певні обмеження — запо</w:t>
      </w:r>
      <w:r w:rsidRPr="00F8586F">
        <w:rPr>
          <w:rFonts w:cs="Arial"/>
          <w:sz w:val="20"/>
        </w:rPr>
        <w:softHyphen/>
        <w:t>біжні заходи. Дія обраного запобіжного заходу може бути поширена й на стадію судового провадження.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  <w:t>Будь-який запобіжний захід може бути застосо</w:t>
      </w:r>
      <w:r w:rsidRPr="00F8586F">
        <w:rPr>
          <w:rFonts w:cs="Arial"/>
          <w:b/>
          <w:bCs/>
          <w:sz w:val="20"/>
        </w:rPr>
        <w:softHyphen/>
        <w:t>ваний лише за рішенням суду.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Рішення про застосування або відмову у застосуванні запо</w:t>
      </w:r>
      <w:r w:rsidRPr="00F8586F">
        <w:rPr>
          <w:rFonts w:cs="Arial"/>
          <w:sz w:val="20"/>
        </w:rPr>
        <w:softHyphen/>
        <w:t xml:space="preserve">біжного заходу має бути ухвалене судом </w:t>
      </w:r>
      <w:r w:rsidRPr="00F8586F">
        <w:rPr>
          <w:rFonts w:cs="Arial"/>
          <w:b/>
          <w:bCs/>
          <w:sz w:val="20"/>
        </w:rPr>
        <w:t xml:space="preserve">в межах 72 годин </w:t>
      </w:r>
      <w:r w:rsidRPr="00F8586F">
        <w:rPr>
          <w:rFonts w:cs="Arial"/>
          <w:sz w:val="20"/>
        </w:rPr>
        <w:t>із моменту фактичного затримання підозрюваного (обвину</w:t>
      </w:r>
      <w:r w:rsidRPr="00F8586F">
        <w:rPr>
          <w:rFonts w:cs="Arial"/>
          <w:sz w:val="20"/>
        </w:rPr>
        <w:softHyphen/>
        <w:t>ваченого) або надходження клопотання до суду.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  <w:r w:rsidRPr="00F8586F">
        <w:rPr>
          <w:rFonts w:cs="Arial"/>
          <w:sz w:val="20"/>
        </w:rPr>
        <w:tab/>
        <w:t>Суд може обрати один із наступних за</w:t>
      </w:r>
      <w:r w:rsidRPr="00F8586F">
        <w:rPr>
          <w:rFonts w:cs="Arial"/>
          <w:sz w:val="20"/>
        </w:rPr>
        <w:softHyphen/>
        <w:t>побіжних заходів (наведені від найбільш м’якого до найбільш суворого):</w:t>
      </w:r>
    </w:p>
    <w:p w:rsidR="005747F9" w:rsidRPr="00F8586F" w:rsidRDefault="005747F9" w:rsidP="005747F9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особисте зобов’язання </w:t>
      </w:r>
      <w:r w:rsidRPr="00F8586F">
        <w:rPr>
          <w:rFonts w:cs="Arial"/>
          <w:sz w:val="20"/>
        </w:rPr>
        <w:t>— підозрюваному (обвину</w:t>
      </w:r>
      <w:r w:rsidRPr="00F8586F">
        <w:rPr>
          <w:rFonts w:cs="Arial"/>
          <w:sz w:val="20"/>
        </w:rPr>
        <w:softHyphen/>
        <w:t>ваченому) під розпис повідомляють покладені на нього обов’язки, які він зобов’язується виконувати;</w:t>
      </w:r>
    </w:p>
    <w:p w:rsidR="005747F9" w:rsidRPr="00F8586F" w:rsidRDefault="005747F9" w:rsidP="005747F9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особиста порука </w:t>
      </w:r>
      <w:r w:rsidRPr="00F8586F">
        <w:rPr>
          <w:rFonts w:cs="Arial"/>
          <w:sz w:val="20"/>
        </w:rPr>
        <w:t>— люди, які заслуговують довіри суду, письмово заявляють про те, що ручаються за вико</w:t>
      </w:r>
      <w:r w:rsidRPr="00F8586F">
        <w:rPr>
          <w:rFonts w:cs="Arial"/>
          <w:sz w:val="20"/>
        </w:rPr>
        <w:softHyphen/>
        <w:t>нання підозрюваним (обвинуваченим) покладених на нього обов’язків;</w:t>
      </w:r>
    </w:p>
    <w:p w:rsidR="005747F9" w:rsidRPr="00F8586F" w:rsidRDefault="005747F9" w:rsidP="005747F9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застава </w:t>
      </w:r>
      <w:r w:rsidRPr="00F8586F">
        <w:rPr>
          <w:rFonts w:cs="Arial"/>
          <w:sz w:val="20"/>
        </w:rPr>
        <w:t>— вноситься певна сума грошових коштів, яка гарантує виконання підозрюваним (обвинуваченим) покладених на нього обов’язків; внести заставу може будь-хто: родичі або знайомі, адвокат, а також юридич</w:t>
      </w:r>
      <w:r w:rsidRPr="00F8586F">
        <w:rPr>
          <w:rFonts w:cs="Arial"/>
          <w:sz w:val="20"/>
        </w:rPr>
        <w:softHyphen/>
        <w:t>на особа (наприклад, роботодавець, якщо це не дер</w:t>
      </w:r>
      <w:r w:rsidRPr="00F8586F">
        <w:rPr>
          <w:rFonts w:cs="Arial"/>
          <w:sz w:val="20"/>
        </w:rPr>
        <w:softHyphen/>
        <w:t>жавна установа) тощо;</w:t>
      </w:r>
    </w:p>
    <w:p w:rsidR="005747F9" w:rsidRPr="00F8586F" w:rsidRDefault="005747F9" w:rsidP="005747F9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домашній арешт </w:t>
      </w:r>
      <w:r w:rsidRPr="00F8586F">
        <w:rPr>
          <w:rFonts w:cs="Arial"/>
          <w:sz w:val="20"/>
        </w:rPr>
        <w:t>— підозрюваному (обвинуваченому) забороняється залишати своє житло цілодобово або у певний період доби;</w:t>
      </w:r>
    </w:p>
    <w:p w:rsidR="005747F9" w:rsidRPr="00F8586F" w:rsidRDefault="005747F9" w:rsidP="005747F9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тримання під вартою </w:t>
      </w:r>
      <w:r w:rsidRPr="00F8586F">
        <w:rPr>
          <w:rFonts w:cs="Arial"/>
          <w:sz w:val="20"/>
        </w:rPr>
        <w:t>— застосовується як винятко</w:t>
      </w:r>
      <w:r w:rsidRPr="00F8586F">
        <w:rPr>
          <w:rFonts w:cs="Arial"/>
          <w:sz w:val="20"/>
        </w:rPr>
        <w:softHyphen/>
        <w:t>вий захід до певного кола осіб, коли більш м’які заходи не можуть бути застосовані; при цьому суд зобов’яза</w:t>
      </w:r>
      <w:r w:rsidRPr="00F8586F">
        <w:rPr>
          <w:rFonts w:cs="Arial"/>
          <w:sz w:val="20"/>
        </w:rPr>
        <w:softHyphen/>
        <w:t>ний визначити розмір застави, при внесенні якої особу мають звільнити (з цього правила робиться виняток, у разі звинувачення у насильницьких злочинах та злочи</w:t>
      </w:r>
      <w:r w:rsidRPr="00F8586F">
        <w:rPr>
          <w:rFonts w:cs="Arial"/>
          <w:sz w:val="20"/>
        </w:rPr>
        <w:softHyphen/>
        <w:t>нах, що спричинили смерть людини, а також при пору</w:t>
      </w:r>
      <w:r w:rsidRPr="00F8586F">
        <w:rPr>
          <w:rFonts w:cs="Arial"/>
          <w:sz w:val="20"/>
        </w:rPr>
        <w:softHyphen/>
        <w:t>шенні умов застави, призначеної раніше).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  <w:t>При розгляді клопотання про обрання або про</w:t>
      </w:r>
      <w:r w:rsidRPr="00F8586F">
        <w:rPr>
          <w:rFonts w:cs="Arial"/>
          <w:b/>
          <w:bCs/>
          <w:sz w:val="20"/>
        </w:rPr>
        <w:softHyphen/>
        <w:t>довження тримання під вартою суд обов’язково має розглянути можливість застосування інших (більш м’яких) запобіжних заходів.</w:t>
      </w:r>
    </w:p>
    <w:p w:rsidR="005747F9" w:rsidRPr="00F8586F" w:rsidRDefault="005747F9" w:rsidP="005747F9">
      <w:pPr>
        <w:jc w:val="both"/>
        <w:rPr>
          <w:rFonts w:cs="Arial"/>
          <w:sz w:val="20"/>
        </w:rPr>
      </w:pP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  <w:t>Терміни у цьому буклеті вживаються у такому значенні:</w:t>
      </w:r>
    </w:p>
    <w:p w:rsidR="005747F9" w:rsidRPr="00F8586F" w:rsidRDefault="005747F9" w:rsidP="005747F9">
      <w:pPr>
        <w:numPr>
          <w:ilvl w:val="0"/>
          <w:numId w:val="7"/>
        </w:numPr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9183370</wp:posOffset>
            </wp:positionH>
            <wp:positionV relativeFrom="margin">
              <wp:posOffset>24130</wp:posOffset>
            </wp:positionV>
            <wp:extent cx="1237615" cy="609600"/>
            <wp:effectExtent l="19050" t="0" r="635" b="0"/>
            <wp:wrapTight wrapText="bothSides">
              <wp:wrapPolygon edited="0">
                <wp:start x="-332" y="0"/>
                <wp:lineTo x="-332" y="20925"/>
                <wp:lineTo x="21611" y="20925"/>
                <wp:lineTo x="21611" y="0"/>
                <wp:lineTo x="-3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86F">
        <w:rPr>
          <w:rFonts w:cs="Arial"/>
          <w:b/>
          <w:bCs/>
          <w:sz w:val="20"/>
        </w:rPr>
        <w:t xml:space="preserve">кримінальне правопорушення </w:t>
      </w:r>
      <w:r w:rsidRPr="00F8586F">
        <w:rPr>
          <w:rFonts w:cs="Arial"/>
          <w:sz w:val="20"/>
        </w:rPr>
        <w:t>— злочин або кримінальний проступок, відповідальність за вчинення якого передбачена законом, зокрема Кримінальним кодексом України;</w:t>
      </w:r>
    </w:p>
    <w:p w:rsidR="005747F9" w:rsidRPr="00F8586F" w:rsidRDefault="005747F9" w:rsidP="005747F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запобіжний захід </w:t>
      </w:r>
      <w:r w:rsidRPr="00F8586F">
        <w:rPr>
          <w:rFonts w:cs="Arial"/>
          <w:sz w:val="20"/>
        </w:rPr>
        <w:t>— процесуальний примус попереджуваль</w:t>
      </w:r>
      <w:r w:rsidRPr="00F8586F">
        <w:rPr>
          <w:rFonts w:cs="Arial"/>
          <w:sz w:val="20"/>
        </w:rPr>
        <w:softHyphen/>
        <w:t>ного (випереджувального) характеру, пов’язаний із тимчасо</w:t>
      </w:r>
      <w:r w:rsidRPr="00F8586F">
        <w:rPr>
          <w:rFonts w:cs="Arial"/>
          <w:sz w:val="20"/>
        </w:rPr>
        <w:softHyphen/>
        <w:t>вим обмеженням або позбавленням права на свободу;</w:t>
      </w:r>
    </w:p>
    <w:p w:rsidR="005747F9" w:rsidRPr="00F8586F" w:rsidRDefault="005747F9" w:rsidP="005747F9">
      <w:pPr>
        <w:numPr>
          <w:ilvl w:val="0"/>
          <w:numId w:val="7"/>
        </w:numPr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8229600</wp:posOffset>
            </wp:positionH>
            <wp:positionV relativeFrom="margin">
              <wp:posOffset>1532890</wp:posOffset>
            </wp:positionV>
            <wp:extent cx="719455" cy="335280"/>
            <wp:effectExtent l="19050" t="0" r="4445" b="0"/>
            <wp:wrapTight wrapText="bothSides">
              <wp:wrapPolygon edited="0">
                <wp:start x="-572" y="0"/>
                <wp:lineTo x="-572" y="20864"/>
                <wp:lineTo x="21733" y="20864"/>
                <wp:lineTo x="21733" y="0"/>
                <wp:lineTo x="-57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lang w:val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7650480</wp:posOffset>
            </wp:positionH>
            <wp:positionV relativeFrom="margin">
              <wp:posOffset>1898650</wp:posOffset>
            </wp:positionV>
            <wp:extent cx="2792095" cy="1993265"/>
            <wp:effectExtent l="19050" t="0" r="8255" b="0"/>
            <wp:wrapTight wrapText="bothSides">
              <wp:wrapPolygon edited="0">
                <wp:start x="-147" y="0"/>
                <wp:lineTo x="-147" y="21469"/>
                <wp:lineTo x="21664" y="21469"/>
                <wp:lineTo x="21664" y="0"/>
                <wp:lineTo x="-1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86F">
        <w:rPr>
          <w:rFonts w:cs="Arial"/>
          <w:b/>
          <w:bCs/>
          <w:sz w:val="20"/>
        </w:rPr>
        <w:t xml:space="preserve">слідчий суддя </w:t>
      </w:r>
      <w:r w:rsidRPr="00F8586F">
        <w:rPr>
          <w:rFonts w:cs="Arial"/>
          <w:sz w:val="20"/>
        </w:rPr>
        <w:t>— суддя, який ухвалює рішення про застосу</w:t>
      </w:r>
      <w:r w:rsidRPr="00F8586F">
        <w:rPr>
          <w:rFonts w:cs="Arial"/>
          <w:sz w:val="20"/>
        </w:rPr>
        <w:softHyphen/>
        <w:t xml:space="preserve">вання запобіжного заходу під час досудового розслідування, або суд, який приймає таке рішення під час судового </w:t>
      </w:r>
      <w:r w:rsidRPr="00F8586F">
        <w:rPr>
          <w:rFonts w:cs="Arial"/>
          <w:sz w:val="20"/>
        </w:rPr>
        <w:lastRenderedPageBreak/>
        <w:t xml:space="preserve">провадження; </w:t>
      </w:r>
      <w:r w:rsidRPr="00F8586F">
        <w:rPr>
          <w:rFonts w:cs="Arial"/>
          <w:b/>
          <w:bCs/>
          <w:sz w:val="20"/>
        </w:rPr>
        <w:t xml:space="preserve">+ захисник за призначенням </w:t>
      </w:r>
      <w:r w:rsidRPr="00F8586F">
        <w:rPr>
          <w:rFonts w:cs="Arial"/>
          <w:sz w:val="20"/>
        </w:rPr>
        <w:t>— адвокат, наданий центром безоплатної вторинної правової допомоги для здійснення захисту затриманого, підозрюваного, обвинуваченого за кош</w:t>
      </w:r>
      <w:r w:rsidRPr="00F8586F">
        <w:rPr>
          <w:rFonts w:cs="Arial"/>
          <w:sz w:val="20"/>
        </w:rPr>
        <w:softHyphen/>
        <w:t>ти держави;</w:t>
      </w:r>
    </w:p>
    <w:p w:rsidR="005747F9" w:rsidRPr="00F8586F" w:rsidRDefault="005747F9" w:rsidP="005747F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клопотання слідчого </w:t>
      </w:r>
      <w:r w:rsidRPr="00F8586F">
        <w:rPr>
          <w:rFonts w:cs="Arial"/>
          <w:sz w:val="20"/>
        </w:rPr>
        <w:t>— клопотання, погоджене слідчим із прокурором, про застосування запобіжного заходу під час досудового розслідування або клопотання прокурора під час судового провадження;</w:t>
      </w:r>
    </w:p>
    <w:p w:rsidR="005747F9" w:rsidRPr="00F8586F" w:rsidRDefault="005747F9" w:rsidP="005747F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F8586F">
        <w:rPr>
          <w:rFonts w:cs="Arial"/>
          <w:b/>
          <w:bCs/>
          <w:sz w:val="20"/>
        </w:rPr>
        <w:t xml:space="preserve">заявлений злочин </w:t>
      </w:r>
      <w:r w:rsidRPr="00F8586F">
        <w:rPr>
          <w:rFonts w:cs="Arial"/>
          <w:sz w:val="20"/>
        </w:rPr>
        <w:t>— кримінальне правопорушення, у вчиненні якого особу підозрюють або обвинувачують.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ДОВІДКОВО</w:t>
      </w:r>
    </w:p>
    <w:p w:rsidR="005747F9" w:rsidRPr="00F8586F" w:rsidRDefault="005747F9" w:rsidP="005747F9">
      <w:p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ab/>
        <w:t>Статті Кримінального процесуального кодексу України, які детально регламентують обрання запобіжного заходу: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глава 18 — запобіжні заходи;</w:t>
      </w:r>
      <w:r w:rsidRPr="00F8586F">
        <w:rPr>
          <w:rFonts w:cs="Arial"/>
          <w:b/>
          <w:bCs/>
          <w:sz w:val="20"/>
        </w:rPr>
        <w:tab/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стаття 45-54 — правила залучення захисника;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стаття 177 — мета і підстави застосування запобіжних заходів;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статті 179-183 — характеристика запобіжних заходів;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стаття 184-187, 192-193, 200 — подання клопотання слідчого, прокурора про застосування або зміну запобіжного заходу;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стаття 193 — порядок розгляду клопотання про застосування запобіжного заходу;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bCs/>
          <w:sz w:val="20"/>
        </w:rPr>
      </w:pPr>
      <w:r w:rsidRPr="00F8586F">
        <w:rPr>
          <w:rFonts w:cs="Arial"/>
          <w:b/>
          <w:bCs/>
          <w:sz w:val="20"/>
        </w:rPr>
        <w:t>статті 194-197 — застосування запобіжних заходів;</w:t>
      </w:r>
    </w:p>
    <w:p w:rsidR="005747F9" w:rsidRPr="00F8586F" w:rsidRDefault="005747F9" w:rsidP="005747F9">
      <w:pPr>
        <w:numPr>
          <w:ilvl w:val="0"/>
          <w:numId w:val="8"/>
        </w:numPr>
        <w:jc w:val="both"/>
        <w:rPr>
          <w:rFonts w:cs="Arial"/>
          <w:b/>
          <w:sz w:val="20"/>
        </w:rPr>
      </w:pPr>
      <w:r w:rsidRPr="00F8586F">
        <w:rPr>
          <w:rFonts w:cs="Arial"/>
          <w:b/>
          <w:sz w:val="20"/>
        </w:rPr>
        <w:t>стаття 201 — клопотання підозрюваного, обвинуваченого про заміну запобіжного заходу</w:t>
      </w: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5747F9" w:rsidRDefault="005747F9" w:rsidP="005747F9">
      <w:pPr>
        <w:rPr>
          <w:rFonts w:ascii="Times New Roman" w:hAnsi="Times New Roman"/>
          <w:color w:val="000000"/>
          <w:sz w:val="20"/>
        </w:rPr>
      </w:pPr>
    </w:p>
    <w:p w:rsidR="00D93A2E" w:rsidRDefault="005747F9"/>
    <w:sectPr w:rsidR="00D93A2E" w:rsidSect="0085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1A"/>
    <w:multiLevelType w:val="hybridMultilevel"/>
    <w:tmpl w:val="BD7E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94CE4"/>
    <w:multiLevelType w:val="hybridMultilevel"/>
    <w:tmpl w:val="2124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B1E3E"/>
    <w:multiLevelType w:val="hybridMultilevel"/>
    <w:tmpl w:val="D8D63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23B68"/>
    <w:multiLevelType w:val="hybridMultilevel"/>
    <w:tmpl w:val="7B50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87CDC"/>
    <w:multiLevelType w:val="hybridMultilevel"/>
    <w:tmpl w:val="A7A6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33C7F"/>
    <w:multiLevelType w:val="hybridMultilevel"/>
    <w:tmpl w:val="079E7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22454"/>
    <w:multiLevelType w:val="hybridMultilevel"/>
    <w:tmpl w:val="D2D23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65826"/>
    <w:multiLevelType w:val="hybridMultilevel"/>
    <w:tmpl w:val="F372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7F9"/>
    <w:rsid w:val="00031D9F"/>
    <w:rsid w:val="00056929"/>
    <w:rsid w:val="000A38C1"/>
    <w:rsid w:val="000B13BD"/>
    <w:rsid w:val="000B245E"/>
    <w:rsid w:val="000B32DD"/>
    <w:rsid w:val="000B446F"/>
    <w:rsid w:val="00112E02"/>
    <w:rsid w:val="00131F60"/>
    <w:rsid w:val="00135358"/>
    <w:rsid w:val="00144620"/>
    <w:rsid w:val="001550A9"/>
    <w:rsid w:val="001556DE"/>
    <w:rsid w:val="00155BDD"/>
    <w:rsid w:val="00156ABC"/>
    <w:rsid w:val="00157042"/>
    <w:rsid w:val="001C649A"/>
    <w:rsid w:val="001D5623"/>
    <w:rsid w:val="00202FAD"/>
    <w:rsid w:val="00206BAC"/>
    <w:rsid w:val="00211E79"/>
    <w:rsid w:val="00216E00"/>
    <w:rsid w:val="002A298A"/>
    <w:rsid w:val="002E673B"/>
    <w:rsid w:val="00303C23"/>
    <w:rsid w:val="003667E5"/>
    <w:rsid w:val="003848E0"/>
    <w:rsid w:val="003F3CA0"/>
    <w:rsid w:val="00435A9C"/>
    <w:rsid w:val="0047313B"/>
    <w:rsid w:val="00490CE3"/>
    <w:rsid w:val="004951B1"/>
    <w:rsid w:val="004A2266"/>
    <w:rsid w:val="004A4CFB"/>
    <w:rsid w:val="004E0E67"/>
    <w:rsid w:val="004F75F0"/>
    <w:rsid w:val="00552CC5"/>
    <w:rsid w:val="005747F9"/>
    <w:rsid w:val="005B506D"/>
    <w:rsid w:val="005D5B3C"/>
    <w:rsid w:val="0060338B"/>
    <w:rsid w:val="00610DFA"/>
    <w:rsid w:val="00614BF3"/>
    <w:rsid w:val="0063074A"/>
    <w:rsid w:val="00633B88"/>
    <w:rsid w:val="006D53A8"/>
    <w:rsid w:val="0070556C"/>
    <w:rsid w:val="0071331F"/>
    <w:rsid w:val="00790F94"/>
    <w:rsid w:val="007D054C"/>
    <w:rsid w:val="007E5F18"/>
    <w:rsid w:val="008524A2"/>
    <w:rsid w:val="00870A20"/>
    <w:rsid w:val="008802AA"/>
    <w:rsid w:val="0089125A"/>
    <w:rsid w:val="00897F3A"/>
    <w:rsid w:val="008A48FB"/>
    <w:rsid w:val="008C1A4E"/>
    <w:rsid w:val="008D5A9A"/>
    <w:rsid w:val="00921A15"/>
    <w:rsid w:val="00935329"/>
    <w:rsid w:val="00937E45"/>
    <w:rsid w:val="009C1316"/>
    <w:rsid w:val="009E0F21"/>
    <w:rsid w:val="00A100FC"/>
    <w:rsid w:val="00A10329"/>
    <w:rsid w:val="00A143DC"/>
    <w:rsid w:val="00A16B91"/>
    <w:rsid w:val="00A204B7"/>
    <w:rsid w:val="00AB086B"/>
    <w:rsid w:val="00AC5BBF"/>
    <w:rsid w:val="00AD1B54"/>
    <w:rsid w:val="00AE5284"/>
    <w:rsid w:val="00B63D34"/>
    <w:rsid w:val="00BB1F2E"/>
    <w:rsid w:val="00BE7000"/>
    <w:rsid w:val="00C154C5"/>
    <w:rsid w:val="00C41DE5"/>
    <w:rsid w:val="00C436C1"/>
    <w:rsid w:val="00C52D9B"/>
    <w:rsid w:val="00C67648"/>
    <w:rsid w:val="00C71A82"/>
    <w:rsid w:val="00C8462D"/>
    <w:rsid w:val="00C8603B"/>
    <w:rsid w:val="00C94114"/>
    <w:rsid w:val="00C976B8"/>
    <w:rsid w:val="00CE26B1"/>
    <w:rsid w:val="00D069F2"/>
    <w:rsid w:val="00D143C2"/>
    <w:rsid w:val="00D14EAF"/>
    <w:rsid w:val="00D22D78"/>
    <w:rsid w:val="00D61770"/>
    <w:rsid w:val="00DA440D"/>
    <w:rsid w:val="00DA6064"/>
    <w:rsid w:val="00DB4EC9"/>
    <w:rsid w:val="00DD08C6"/>
    <w:rsid w:val="00DF6146"/>
    <w:rsid w:val="00E16F52"/>
    <w:rsid w:val="00E2305A"/>
    <w:rsid w:val="00E60E59"/>
    <w:rsid w:val="00E91E78"/>
    <w:rsid w:val="00E92290"/>
    <w:rsid w:val="00ED3AFA"/>
    <w:rsid w:val="00EF79E5"/>
    <w:rsid w:val="00F2793B"/>
    <w:rsid w:val="00F27E1E"/>
    <w:rsid w:val="00F66520"/>
    <w:rsid w:val="00F7749A"/>
    <w:rsid w:val="00F815AC"/>
    <w:rsid w:val="00FC4E71"/>
    <w:rsid w:val="00FC682D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7325</Characters>
  <Application>Microsoft Office Word</Application>
  <DocSecurity>0</DocSecurity>
  <Lines>61</Lines>
  <Paragraphs>17</Paragraphs>
  <ScaleCrop>false</ScaleCrop>
  <Company>Computer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2013-11-28T07:50:00Z</dcterms:created>
  <dcterms:modified xsi:type="dcterms:W3CDTF">2013-11-28T07:50:00Z</dcterms:modified>
</cp:coreProperties>
</file>